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055" w:rsidRPr="00724C18" w:rsidRDefault="00A45092" w:rsidP="00A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MEDICINSKA ŠKOLA ANTE KUZMANIĆA</w:t>
      </w:r>
    </w:p>
    <w:p w:rsidR="00A45092" w:rsidRPr="00724C18" w:rsidRDefault="00D67EA7" w:rsidP="00A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DR.FRANJE TUĐMANA 24 G</w:t>
      </w:r>
    </w:p>
    <w:p w:rsidR="00A45092" w:rsidRPr="00724C18" w:rsidRDefault="00A45092" w:rsidP="00A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 xml:space="preserve">23000 </w:t>
      </w:r>
      <w:r w:rsidR="00D67EA7" w:rsidRPr="00724C18">
        <w:rPr>
          <w:rFonts w:ascii="Times New Roman" w:hAnsi="Times New Roman" w:cs="Times New Roman"/>
          <w:b/>
          <w:sz w:val="24"/>
          <w:szCs w:val="24"/>
        </w:rPr>
        <w:t>ZADAR</w:t>
      </w:r>
    </w:p>
    <w:p w:rsidR="00A45092" w:rsidRPr="00724C18" w:rsidRDefault="00A45092" w:rsidP="00A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OIB: 00579855113</w:t>
      </w:r>
    </w:p>
    <w:p w:rsidR="00A45092" w:rsidRPr="00724C18" w:rsidRDefault="00A45092" w:rsidP="00A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7" w:history="1">
        <w:r w:rsidRPr="00724C18">
          <w:rPr>
            <w:rStyle w:val="Hiperveza"/>
            <w:rFonts w:ascii="Times New Roman" w:hAnsi="Times New Roman" w:cs="Times New Roman"/>
            <w:b/>
            <w:sz w:val="24"/>
            <w:szCs w:val="24"/>
          </w:rPr>
          <w:t>ante-kuzmanic@medskolazd.hr</w:t>
        </w:r>
      </w:hyperlink>
    </w:p>
    <w:p w:rsidR="00A45092" w:rsidRPr="00724C18" w:rsidRDefault="00597D83" w:rsidP="00A450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A45092" w:rsidRPr="00724C18">
          <w:rPr>
            <w:rStyle w:val="Hiperveza"/>
            <w:rFonts w:ascii="Times New Roman" w:hAnsi="Times New Roman" w:cs="Times New Roman"/>
            <w:b/>
            <w:sz w:val="24"/>
            <w:szCs w:val="24"/>
          </w:rPr>
          <w:t>www.medskolazd.hr</w:t>
        </w:r>
      </w:hyperlink>
    </w:p>
    <w:p w:rsidR="00A45092" w:rsidRPr="00724C18" w:rsidRDefault="00A45092" w:rsidP="00A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B</w:t>
      </w:r>
      <w:r w:rsidR="00D67EA7" w:rsidRPr="00724C18">
        <w:rPr>
          <w:rFonts w:ascii="Times New Roman" w:hAnsi="Times New Roman" w:cs="Times New Roman"/>
          <w:b/>
          <w:sz w:val="24"/>
          <w:szCs w:val="24"/>
        </w:rPr>
        <w:t>ROJ</w:t>
      </w:r>
      <w:r w:rsidRPr="00724C18">
        <w:rPr>
          <w:rFonts w:ascii="Times New Roman" w:hAnsi="Times New Roman" w:cs="Times New Roman"/>
          <w:b/>
          <w:sz w:val="24"/>
          <w:szCs w:val="24"/>
        </w:rPr>
        <w:t xml:space="preserve"> RKP: 18717</w:t>
      </w:r>
    </w:p>
    <w:p w:rsidR="00A45092" w:rsidRPr="00724C18" w:rsidRDefault="00A45092" w:rsidP="00A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R</w:t>
      </w:r>
      <w:r w:rsidR="00D67EA7" w:rsidRPr="00724C18">
        <w:rPr>
          <w:rFonts w:ascii="Times New Roman" w:hAnsi="Times New Roman" w:cs="Times New Roman"/>
          <w:b/>
          <w:sz w:val="24"/>
          <w:szCs w:val="24"/>
        </w:rPr>
        <w:t>AZINA</w:t>
      </w:r>
      <w:r w:rsidRPr="00724C18">
        <w:rPr>
          <w:rFonts w:ascii="Times New Roman" w:hAnsi="Times New Roman" w:cs="Times New Roman"/>
          <w:b/>
          <w:sz w:val="24"/>
          <w:szCs w:val="24"/>
        </w:rPr>
        <w:t xml:space="preserve"> 31</w:t>
      </w:r>
    </w:p>
    <w:p w:rsidR="00A45092" w:rsidRPr="00724C18" w:rsidRDefault="00A45092" w:rsidP="00A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Z</w:t>
      </w:r>
      <w:r w:rsidR="00D67EA7" w:rsidRPr="00724C18">
        <w:rPr>
          <w:rFonts w:ascii="Times New Roman" w:hAnsi="Times New Roman" w:cs="Times New Roman"/>
          <w:b/>
          <w:sz w:val="24"/>
          <w:szCs w:val="24"/>
        </w:rPr>
        <w:t>ADAR</w:t>
      </w:r>
      <w:r w:rsidRPr="00724C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12221">
        <w:rPr>
          <w:rFonts w:ascii="Times New Roman" w:hAnsi="Times New Roman" w:cs="Times New Roman"/>
          <w:b/>
          <w:sz w:val="24"/>
          <w:szCs w:val="24"/>
        </w:rPr>
        <w:t>2</w:t>
      </w:r>
      <w:r w:rsidR="00A70ACB">
        <w:rPr>
          <w:rFonts w:ascii="Times New Roman" w:hAnsi="Times New Roman" w:cs="Times New Roman"/>
          <w:b/>
          <w:sz w:val="24"/>
          <w:szCs w:val="24"/>
        </w:rPr>
        <w:t>8</w:t>
      </w:r>
      <w:r w:rsidR="007A136F" w:rsidRPr="00724C18">
        <w:rPr>
          <w:rFonts w:ascii="Times New Roman" w:hAnsi="Times New Roman" w:cs="Times New Roman"/>
          <w:b/>
          <w:sz w:val="24"/>
          <w:szCs w:val="24"/>
        </w:rPr>
        <w:t>.</w:t>
      </w:r>
      <w:r w:rsidR="00D67EA7" w:rsidRPr="00724C18">
        <w:rPr>
          <w:rFonts w:ascii="Times New Roman" w:hAnsi="Times New Roman" w:cs="Times New Roman"/>
          <w:b/>
          <w:sz w:val="24"/>
          <w:szCs w:val="24"/>
        </w:rPr>
        <w:t>LISTOPADA</w:t>
      </w:r>
      <w:r w:rsidR="007A136F" w:rsidRPr="0072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3B" w:rsidRPr="00724C1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73318" w:rsidRPr="00724C18">
        <w:rPr>
          <w:rFonts w:ascii="Times New Roman" w:hAnsi="Times New Roman" w:cs="Times New Roman"/>
          <w:b/>
          <w:sz w:val="24"/>
          <w:szCs w:val="24"/>
        </w:rPr>
        <w:t>2</w:t>
      </w:r>
      <w:r w:rsidR="00D12221">
        <w:rPr>
          <w:rFonts w:ascii="Times New Roman" w:hAnsi="Times New Roman" w:cs="Times New Roman"/>
          <w:b/>
          <w:sz w:val="24"/>
          <w:szCs w:val="24"/>
        </w:rPr>
        <w:t>5</w:t>
      </w:r>
      <w:r w:rsidR="00A15C3B" w:rsidRPr="00724C18">
        <w:rPr>
          <w:rFonts w:ascii="Times New Roman" w:hAnsi="Times New Roman" w:cs="Times New Roman"/>
          <w:b/>
          <w:sz w:val="24"/>
          <w:szCs w:val="24"/>
        </w:rPr>
        <w:t>.g.</w:t>
      </w:r>
    </w:p>
    <w:p w:rsidR="00A15C3B" w:rsidRPr="00724C18" w:rsidRDefault="00A15C3B" w:rsidP="00A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C3B" w:rsidRPr="00724C18" w:rsidRDefault="00A15C3B" w:rsidP="00D67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F76E3" w:rsidRPr="00724C1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24C18">
        <w:rPr>
          <w:rFonts w:ascii="Times New Roman" w:hAnsi="Times New Roman" w:cs="Times New Roman"/>
          <w:b/>
          <w:sz w:val="24"/>
          <w:szCs w:val="24"/>
        </w:rPr>
        <w:t xml:space="preserve">     OBRAZLOŽENJE FINANCIJSKOG PLANA ZA 20</w:t>
      </w:r>
      <w:r w:rsidR="007719A8" w:rsidRPr="00724C18">
        <w:rPr>
          <w:rFonts w:ascii="Times New Roman" w:hAnsi="Times New Roman" w:cs="Times New Roman"/>
          <w:b/>
          <w:sz w:val="24"/>
          <w:szCs w:val="24"/>
        </w:rPr>
        <w:t>2</w:t>
      </w:r>
      <w:r w:rsidR="00D12221">
        <w:rPr>
          <w:rFonts w:ascii="Times New Roman" w:hAnsi="Times New Roman" w:cs="Times New Roman"/>
          <w:b/>
          <w:sz w:val="24"/>
          <w:szCs w:val="24"/>
        </w:rPr>
        <w:t>6</w:t>
      </w:r>
      <w:r w:rsidRPr="00724C18">
        <w:rPr>
          <w:rFonts w:ascii="Times New Roman" w:hAnsi="Times New Roman" w:cs="Times New Roman"/>
          <w:b/>
          <w:sz w:val="24"/>
          <w:szCs w:val="24"/>
        </w:rPr>
        <w:t>.G.</w:t>
      </w:r>
    </w:p>
    <w:p w:rsidR="00A15C3B" w:rsidRPr="00724C18" w:rsidRDefault="00A15C3B" w:rsidP="00D67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AF76E3" w:rsidRPr="00724C1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C5670" w:rsidRPr="00724C18">
        <w:rPr>
          <w:rFonts w:ascii="Times New Roman" w:hAnsi="Times New Roman" w:cs="Times New Roman"/>
          <w:b/>
          <w:sz w:val="24"/>
          <w:szCs w:val="24"/>
        </w:rPr>
        <w:t xml:space="preserve">  TE PROJEKCIJA ZA 202</w:t>
      </w:r>
      <w:r w:rsidR="00D12221">
        <w:rPr>
          <w:rFonts w:ascii="Times New Roman" w:hAnsi="Times New Roman" w:cs="Times New Roman"/>
          <w:b/>
          <w:sz w:val="24"/>
          <w:szCs w:val="24"/>
        </w:rPr>
        <w:t>7</w:t>
      </w:r>
      <w:r w:rsidR="00BC5670" w:rsidRPr="00724C18">
        <w:rPr>
          <w:rFonts w:ascii="Times New Roman" w:hAnsi="Times New Roman" w:cs="Times New Roman"/>
          <w:b/>
          <w:sz w:val="24"/>
          <w:szCs w:val="24"/>
        </w:rPr>
        <w:t>. i  202</w:t>
      </w:r>
      <w:r w:rsidR="00D12221">
        <w:rPr>
          <w:rFonts w:ascii="Times New Roman" w:hAnsi="Times New Roman" w:cs="Times New Roman"/>
          <w:b/>
          <w:sz w:val="24"/>
          <w:szCs w:val="24"/>
        </w:rPr>
        <w:t>8</w:t>
      </w:r>
      <w:r w:rsidRPr="00724C18">
        <w:rPr>
          <w:rFonts w:ascii="Times New Roman" w:hAnsi="Times New Roman" w:cs="Times New Roman"/>
          <w:b/>
          <w:sz w:val="24"/>
          <w:szCs w:val="24"/>
        </w:rPr>
        <w:t>.G.</w:t>
      </w:r>
    </w:p>
    <w:p w:rsidR="00A15C3B" w:rsidRPr="00724C18" w:rsidRDefault="00A15C3B" w:rsidP="00D6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C3B" w:rsidRPr="00724C18" w:rsidRDefault="00C517A1" w:rsidP="00C51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1.UVOD-</w:t>
      </w:r>
      <w:r w:rsidR="00A15C3B" w:rsidRPr="00724C18">
        <w:rPr>
          <w:rFonts w:ascii="Times New Roman" w:hAnsi="Times New Roman" w:cs="Times New Roman"/>
          <w:b/>
          <w:sz w:val="24"/>
          <w:szCs w:val="24"/>
        </w:rPr>
        <w:t>Sažetak djelokruga rada Škole</w:t>
      </w:r>
    </w:p>
    <w:p w:rsidR="00A15C3B" w:rsidRPr="00724C18" w:rsidRDefault="00A15C3B" w:rsidP="00D67E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C3B" w:rsidRPr="00724C18" w:rsidRDefault="00A15C3B" w:rsidP="00D6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24C18">
        <w:rPr>
          <w:rFonts w:ascii="Times New Roman" w:hAnsi="Times New Roman" w:cs="Times New Roman"/>
          <w:sz w:val="24"/>
          <w:szCs w:val="24"/>
        </w:rPr>
        <w:t xml:space="preserve">Medicinska škola Ante </w:t>
      </w:r>
      <w:proofErr w:type="spellStart"/>
      <w:r w:rsidRPr="00724C18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="00B73318" w:rsidRPr="00724C18">
        <w:rPr>
          <w:rFonts w:ascii="Times New Roman" w:hAnsi="Times New Roman" w:cs="Times New Roman"/>
          <w:sz w:val="24"/>
          <w:szCs w:val="24"/>
        </w:rPr>
        <w:t xml:space="preserve"> - </w:t>
      </w:r>
      <w:r w:rsidRPr="00724C18">
        <w:rPr>
          <w:rFonts w:ascii="Times New Roman" w:hAnsi="Times New Roman" w:cs="Times New Roman"/>
          <w:sz w:val="24"/>
          <w:szCs w:val="24"/>
        </w:rPr>
        <w:t xml:space="preserve">Zadar osnovana je Odlukom Skupštine općine Zadar od 22. </w:t>
      </w:r>
      <w:r w:rsidR="0005768D" w:rsidRPr="00724C18">
        <w:rPr>
          <w:rFonts w:ascii="Times New Roman" w:hAnsi="Times New Roman" w:cs="Times New Roman"/>
          <w:sz w:val="24"/>
          <w:szCs w:val="24"/>
        </w:rPr>
        <w:t>s</w:t>
      </w:r>
      <w:r w:rsidRPr="00724C18">
        <w:rPr>
          <w:rFonts w:ascii="Times New Roman" w:hAnsi="Times New Roman" w:cs="Times New Roman"/>
          <w:sz w:val="24"/>
          <w:szCs w:val="24"/>
        </w:rPr>
        <w:t>rpnja 1992.g. Urbroj:532-02-6/3-93-01</w:t>
      </w:r>
      <w:r w:rsidR="0005768D" w:rsidRPr="00724C18">
        <w:rPr>
          <w:rFonts w:ascii="Times New Roman" w:hAnsi="Times New Roman" w:cs="Times New Roman"/>
          <w:sz w:val="24"/>
          <w:szCs w:val="24"/>
        </w:rPr>
        <w:t xml:space="preserve"> od 21. s</w:t>
      </w:r>
      <w:r w:rsidRPr="00724C18">
        <w:rPr>
          <w:rFonts w:ascii="Times New Roman" w:hAnsi="Times New Roman" w:cs="Times New Roman"/>
          <w:sz w:val="24"/>
          <w:szCs w:val="24"/>
        </w:rPr>
        <w:t>vibnja 1993. A pravni je sljedbenik COUO u zdravstvu i osobnim uslugama.</w:t>
      </w:r>
    </w:p>
    <w:p w:rsidR="00C426B3" w:rsidRPr="00724C18" w:rsidRDefault="00A15C3B" w:rsidP="00C42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U Školi se učenici obrazuju za zvanj</w:t>
      </w:r>
      <w:r w:rsidR="00623888" w:rsidRPr="00724C18">
        <w:rPr>
          <w:rFonts w:ascii="Times New Roman" w:hAnsi="Times New Roman" w:cs="Times New Roman"/>
          <w:sz w:val="24"/>
          <w:szCs w:val="24"/>
        </w:rPr>
        <w:t>e medicinska sestra</w:t>
      </w:r>
      <w:r w:rsidR="00B73318" w:rsidRPr="00724C18">
        <w:rPr>
          <w:rFonts w:ascii="Times New Roman" w:hAnsi="Times New Roman" w:cs="Times New Roman"/>
          <w:sz w:val="24"/>
          <w:szCs w:val="24"/>
        </w:rPr>
        <w:t xml:space="preserve"> </w:t>
      </w:r>
      <w:r w:rsidR="00623888" w:rsidRPr="00724C18">
        <w:rPr>
          <w:rFonts w:ascii="Times New Roman" w:hAnsi="Times New Roman" w:cs="Times New Roman"/>
          <w:sz w:val="24"/>
          <w:szCs w:val="24"/>
        </w:rPr>
        <w:t>-</w:t>
      </w:r>
      <w:r w:rsidR="00B73318" w:rsidRPr="00724C18">
        <w:rPr>
          <w:rFonts w:ascii="Times New Roman" w:hAnsi="Times New Roman" w:cs="Times New Roman"/>
          <w:sz w:val="24"/>
          <w:szCs w:val="24"/>
        </w:rPr>
        <w:t xml:space="preserve"> </w:t>
      </w:r>
      <w:r w:rsidR="00623888" w:rsidRPr="00724C18">
        <w:rPr>
          <w:rFonts w:ascii="Times New Roman" w:hAnsi="Times New Roman" w:cs="Times New Roman"/>
          <w:sz w:val="24"/>
          <w:szCs w:val="24"/>
        </w:rPr>
        <w:t>med.</w:t>
      </w:r>
      <w:r w:rsidR="00B73318" w:rsidRPr="00724C18">
        <w:rPr>
          <w:rFonts w:ascii="Times New Roman" w:hAnsi="Times New Roman" w:cs="Times New Roman"/>
          <w:sz w:val="24"/>
          <w:szCs w:val="24"/>
        </w:rPr>
        <w:t xml:space="preserve"> </w:t>
      </w:r>
      <w:r w:rsidR="00623888" w:rsidRPr="00724C18">
        <w:rPr>
          <w:rFonts w:ascii="Times New Roman" w:hAnsi="Times New Roman" w:cs="Times New Roman"/>
          <w:sz w:val="24"/>
          <w:szCs w:val="24"/>
        </w:rPr>
        <w:t>tehničar opće zdr</w:t>
      </w:r>
      <w:r w:rsidR="00B73318" w:rsidRPr="00724C18">
        <w:rPr>
          <w:rFonts w:ascii="Times New Roman" w:hAnsi="Times New Roman" w:cs="Times New Roman"/>
          <w:sz w:val="24"/>
          <w:szCs w:val="24"/>
        </w:rPr>
        <w:t xml:space="preserve">avstvene </w:t>
      </w:r>
      <w:r w:rsidR="00623888" w:rsidRPr="00724C18">
        <w:rPr>
          <w:rFonts w:ascii="Times New Roman" w:hAnsi="Times New Roman" w:cs="Times New Roman"/>
          <w:sz w:val="24"/>
          <w:szCs w:val="24"/>
        </w:rPr>
        <w:t>njege, sanitarnog te</w:t>
      </w:r>
      <w:r w:rsidR="0005768D" w:rsidRPr="00724C18">
        <w:rPr>
          <w:rFonts w:ascii="Times New Roman" w:hAnsi="Times New Roman" w:cs="Times New Roman"/>
          <w:sz w:val="24"/>
          <w:szCs w:val="24"/>
        </w:rPr>
        <w:t>h</w:t>
      </w:r>
      <w:r w:rsidR="00623888" w:rsidRPr="00724C18">
        <w:rPr>
          <w:rFonts w:ascii="Times New Roman" w:hAnsi="Times New Roman" w:cs="Times New Roman"/>
          <w:sz w:val="24"/>
          <w:szCs w:val="24"/>
        </w:rPr>
        <w:t>ničara/tehničarku,</w:t>
      </w:r>
      <w:r w:rsidR="00D02DD0" w:rsidRPr="00724C18">
        <w:rPr>
          <w:rFonts w:ascii="Times New Roman" w:hAnsi="Times New Roman" w:cs="Times New Roman"/>
          <w:sz w:val="24"/>
          <w:szCs w:val="24"/>
        </w:rPr>
        <w:t xml:space="preserve"> </w:t>
      </w:r>
      <w:r w:rsidR="001F7C9B" w:rsidRPr="00724C18">
        <w:rPr>
          <w:rFonts w:ascii="Times New Roman" w:hAnsi="Times New Roman" w:cs="Times New Roman"/>
          <w:sz w:val="24"/>
          <w:szCs w:val="24"/>
        </w:rPr>
        <w:t>farmaceutskog tehničara</w:t>
      </w:r>
      <w:r w:rsidR="00623888" w:rsidRPr="00724C18">
        <w:rPr>
          <w:rFonts w:ascii="Times New Roman" w:hAnsi="Times New Roman" w:cs="Times New Roman"/>
          <w:sz w:val="24"/>
          <w:szCs w:val="24"/>
        </w:rPr>
        <w:t>/tehničarku,</w:t>
      </w:r>
      <w:r w:rsidR="00B73318" w:rsidRPr="00724C18">
        <w:rPr>
          <w:rFonts w:ascii="Times New Roman" w:hAnsi="Times New Roman" w:cs="Times New Roman"/>
          <w:sz w:val="24"/>
          <w:szCs w:val="24"/>
        </w:rPr>
        <w:t xml:space="preserve"> </w:t>
      </w:r>
      <w:r w:rsidR="00623888" w:rsidRPr="00724C18">
        <w:rPr>
          <w:rFonts w:ascii="Times New Roman" w:hAnsi="Times New Roman" w:cs="Times New Roman"/>
          <w:sz w:val="24"/>
          <w:szCs w:val="24"/>
        </w:rPr>
        <w:t>dentalnog tehničara/tehničarku</w:t>
      </w:r>
      <w:r w:rsidR="00C426B3" w:rsidRPr="00724C18">
        <w:rPr>
          <w:rFonts w:ascii="Times New Roman" w:hAnsi="Times New Roman" w:cs="Times New Roman"/>
          <w:sz w:val="24"/>
          <w:szCs w:val="24"/>
        </w:rPr>
        <w:t>.</w:t>
      </w:r>
    </w:p>
    <w:p w:rsidR="00C426B3" w:rsidRPr="00724C18" w:rsidRDefault="00C426B3" w:rsidP="00C42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 xml:space="preserve">Djelatnost </w:t>
      </w:r>
      <w:r w:rsidR="00805777" w:rsidRPr="00724C18">
        <w:rPr>
          <w:rFonts w:ascii="Times New Roman" w:hAnsi="Times New Roman" w:cs="Times New Roman"/>
          <w:sz w:val="24"/>
          <w:szCs w:val="24"/>
        </w:rPr>
        <w:t xml:space="preserve">Medicinske škole Ante </w:t>
      </w:r>
      <w:proofErr w:type="spellStart"/>
      <w:r w:rsidR="00805777" w:rsidRPr="00724C18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="00805777" w:rsidRPr="00724C18">
        <w:rPr>
          <w:rFonts w:ascii="Times New Roman" w:hAnsi="Times New Roman" w:cs="Times New Roman"/>
          <w:sz w:val="24"/>
          <w:szCs w:val="24"/>
        </w:rPr>
        <w:t xml:space="preserve"> - Zadar je ostvarivanje odgojno-obrazovnog plana i programa iz područja zdravstva, koji sadrži različite vrste i oblike odgojno-obrazovnog rada i usavršavanja.</w:t>
      </w:r>
    </w:p>
    <w:p w:rsidR="00623888" w:rsidRPr="00724C18" w:rsidRDefault="00623888" w:rsidP="00C42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Nastava je redovna  u jutarnjoj i poslijepodnevnoj smjeni. Pored redovne nastave i</w:t>
      </w:r>
      <w:r w:rsidR="0005768D" w:rsidRPr="00724C18">
        <w:rPr>
          <w:rFonts w:ascii="Times New Roman" w:hAnsi="Times New Roman" w:cs="Times New Roman"/>
          <w:sz w:val="24"/>
          <w:szCs w:val="24"/>
        </w:rPr>
        <w:t xml:space="preserve"> </w:t>
      </w:r>
      <w:r w:rsidRPr="00724C18">
        <w:rPr>
          <w:rFonts w:ascii="Times New Roman" w:hAnsi="Times New Roman" w:cs="Times New Roman"/>
          <w:sz w:val="24"/>
          <w:szCs w:val="24"/>
        </w:rPr>
        <w:t>vježbi u Školi organizira se i dodatna , dopunska i izborna nastava, a isto tako i sadržajno bogata izvannastavna aktivnost. Izvodi se prema nastavnim planovima programima, k</w:t>
      </w:r>
      <w:r w:rsidR="00750C3A" w:rsidRPr="00724C18">
        <w:rPr>
          <w:rFonts w:ascii="Times New Roman" w:hAnsi="Times New Roman" w:cs="Times New Roman"/>
          <w:sz w:val="24"/>
          <w:szCs w:val="24"/>
        </w:rPr>
        <w:t>oje je donijelo MZO</w:t>
      </w:r>
      <w:r w:rsidRPr="00724C18">
        <w:rPr>
          <w:rFonts w:ascii="Times New Roman" w:hAnsi="Times New Roman" w:cs="Times New Roman"/>
          <w:sz w:val="24"/>
          <w:szCs w:val="24"/>
        </w:rPr>
        <w:t xml:space="preserve">, operativnom Godišnjem izvedbenom odgojnom-obrazovnom planu i programu rada, te školskom kurikulumu za šk. </w:t>
      </w:r>
      <w:r w:rsidR="00BC5670" w:rsidRPr="00724C18">
        <w:rPr>
          <w:rFonts w:ascii="Times New Roman" w:hAnsi="Times New Roman" w:cs="Times New Roman"/>
          <w:sz w:val="24"/>
          <w:szCs w:val="24"/>
        </w:rPr>
        <w:t>20</w:t>
      </w:r>
      <w:r w:rsidR="00B73318" w:rsidRPr="00724C18">
        <w:rPr>
          <w:rFonts w:ascii="Times New Roman" w:hAnsi="Times New Roman" w:cs="Times New Roman"/>
          <w:sz w:val="24"/>
          <w:szCs w:val="24"/>
        </w:rPr>
        <w:t>2</w:t>
      </w:r>
      <w:r w:rsidR="00D12221">
        <w:rPr>
          <w:rFonts w:ascii="Times New Roman" w:hAnsi="Times New Roman" w:cs="Times New Roman"/>
          <w:sz w:val="24"/>
          <w:szCs w:val="24"/>
        </w:rPr>
        <w:t>5</w:t>
      </w:r>
      <w:r w:rsidR="00BC5670" w:rsidRPr="00724C18">
        <w:rPr>
          <w:rFonts w:ascii="Times New Roman" w:hAnsi="Times New Roman" w:cs="Times New Roman"/>
          <w:sz w:val="24"/>
          <w:szCs w:val="24"/>
        </w:rPr>
        <w:t>/20</w:t>
      </w:r>
      <w:r w:rsidR="00B73318" w:rsidRPr="00724C18">
        <w:rPr>
          <w:rFonts w:ascii="Times New Roman" w:hAnsi="Times New Roman" w:cs="Times New Roman"/>
          <w:sz w:val="24"/>
          <w:szCs w:val="24"/>
        </w:rPr>
        <w:t>2</w:t>
      </w:r>
      <w:r w:rsidR="00D12221">
        <w:rPr>
          <w:rFonts w:ascii="Times New Roman" w:hAnsi="Times New Roman" w:cs="Times New Roman"/>
          <w:sz w:val="24"/>
          <w:szCs w:val="24"/>
        </w:rPr>
        <w:t>6</w:t>
      </w:r>
      <w:r w:rsidRPr="00724C18">
        <w:rPr>
          <w:rFonts w:ascii="Times New Roman" w:hAnsi="Times New Roman" w:cs="Times New Roman"/>
          <w:sz w:val="24"/>
          <w:szCs w:val="24"/>
        </w:rPr>
        <w:t xml:space="preserve">. </w:t>
      </w:r>
      <w:r w:rsidR="00B73318" w:rsidRPr="00724C18">
        <w:rPr>
          <w:rFonts w:ascii="Times New Roman" w:hAnsi="Times New Roman" w:cs="Times New Roman"/>
          <w:sz w:val="24"/>
          <w:szCs w:val="24"/>
        </w:rPr>
        <w:t>i</w:t>
      </w:r>
      <w:r w:rsidRPr="00724C18">
        <w:rPr>
          <w:rFonts w:ascii="Times New Roman" w:hAnsi="Times New Roman" w:cs="Times New Roman"/>
          <w:sz w:val="24"/>
          <w:szCs w:val="24"/>
        </w:rPr>
        <w:t xml:space="preserve"> to u trajanju od četiri i pet godina.</w:t>
      </w:r>
    </w:p>
    <w:p w:rsidR="00934ED3" w:rsidRPr="00724C18" w:rsidRDefault="00934ED3" w:rsidP="00D6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 xml:space="preserve">  Školu polazi </w:t>
      </w:r>
      <w:r w:rsidR="00052EA8" w:rsidRPr="00724C18">
        <w:rPr>
          <w:rFonts w:ascii="Times New Roman" w:hAnsi="Times New Roman" w:cs="Times New Roman"/>
          <w:sz w:val="24"/>
          <w:szCs w:val="24"/>
        </w:rPr>
        <w:t>3</w:t>
      </w:r>
      <w:r w:rsidR="00D12221">
        <w:rPr>
          <w:rFonts w:ascii="Times New Roman" w:hAnsi="Times New Roman" w:cs="Times New Roman"/>
          <w:sz w:val="24"/>
          <w:szCs w:val="24"/>
        </w:rPr>
        <w:t xml:space="preserve">88 </w:t>
      </w:r>
      <w:r w:rsidRPr="00724C18">
        <w:rPr>
          <w:rFonts w:ascii="Times New Roman" w:hAnsi="Times New Roman" w:cs="Times New Roman"/>
          <w:sz w:val="24"/>
          <w:szCs w:val="24"/>
        </w:rPr>
        <w:t xml:space="preserve">učenika u </w:t>
      </w:r>
      <w:r w:rsidR="002B5583" w:rsidRPr="00724C18">
        <w:rPr>
          <w:rFonts w:ascii="Times New Roman" w:hAnsi="Times New Roman" w:cs="Times New Roman"/>
          <w:sz w:val="24"/>
          <w:szCs w:val="24"/>
        </w:rPr>
        <w:t>1</w:t>
      </w:r>
      <w:r w:rsidR="00D12221">
        <w:rPr>
          <w:rFonts w:ascii="Times New Roman" w:hAnsi="Times New Roman" w:cs="Times New Roman"/>
          <w:sz w:val="24"/>
          <w:szCs w:val="24"/>
        </w:rPr>
        <w:t>9</w:t>
      </w:r>
      <w:r w:rsidRPr="00724C18">
        <w:rPr>
          <w:rFonts w:ascii="Times New Roman" w:hAnsi="Times New Roman" w:cs="Times New Roman"/>
          <w:sz w:val="24"/>
          <w:szCs w:val="24"/>
        </w:rPr>
        <w:t xml:space="preserve"> razrednih odjeljenja.</w:t>
      </w:r>
    </w:p>
    <w:p w:rsidR="00934ED3" w:rsidRPr="00724C18" w:rsidRDefault="00934ED3" w:rsidP="00D6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Škola provodi sve aktivnosti propisane Zakonom u cilju zadovoljenja potreba i interesa učenika.</w:t>
      </w:r>
    </w:p>
    <w:p w:rsidR="00BC7B47" w:rsidRPr="00724C18" w:rsidRDefault="00BC7B47" w:rsidP="00D67E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Škola nastavlja provoditi realizaciju projekta regionalnog centra kompetentnosti u zdravstvu (RCK) kroz projekt Infrastruktura</w:t>
      </w:r>
      <w:r w:rsidR="00A00DEF" w:rsidRPr="00724C18">
        <w:rPr>
          <w:rFonts w:ascii="Times New Roman" w:hAnsi="Times New Roman" w:cs="Times New Roman"/>
          <w:sz w:val="24"/>
          <w:szCs w:val="24"/>
        </w:rPr>
        <w:t>.</w:t>
      </w:r>
    </w:p>
    <w:p w:rsidR="00934ED3" w:rsidRPr="00724C18" w:rsidRDefault="00934ED3" w:rsidP="00A15C3B">
      <w:pPr>
        <w:spacing w:after="0" w:line="240" w:lineRule="auto"/>
        <w:rPr>
          <w:rFonts w:ascii="Times New Roman" w:hAnsi="Times New Roman" w:cs="Times New Roman"/>
          <w:b/>
        </w:rPr>
      </w:pPr>
    </w:p>
    <w:p w:rsidR="00934ED3" w:rsidRPr="00724C18" w:rsidRDefault="00C517A1" w:rsidP="00C517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2.</w:t>
      </w:r>
      <w:r w:rsidR="00934ED3" w:rsidRPr="00724C18">
        <w:rPr>
          <w:rFonts w:ascii="Times New Roman" w:hAnsi="Times New Roman" w:cs="Times New Roman"/>
          <w:b/>
          <w:sz w:val="24"/>
          <w:szCs w:val="24"/>
        </w:rPr>
        <w:t>Obrazloženje programa rada Škole</w:t>
      </w:r>
    </w:p>
    <w:p w:rsidR="00934ED3" w:rsidRPr="00724C18" w:rsidRDefault="00934ED3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ED3" w:rsidRPr="00724C18" w:rsidRDefault="00934ED3" w:rsidP="00A00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 xml:space="preserve">  </w:t>
      </w:r>
      <w:r w:rsidR="0005768D" w:rsidRPr="00724C18">
        <w:rPr>
          <w:rFonts w:ascii="Times New Roman" w:hAnsi="Times New Roman" w:cs="Times New Roman"/>
          <w:sz w:val="24"/>
          <w:szCs w:val="24"/>
        </w:rPr>
        <w:t xml:space="preserve">Prioritet </w:t>
      </w:r>
      <w:r w:rsidRPr="00724C18">
        <w:rPr>
          <w:rFonts w:ascii="Times New Roman" w:hAnsi="Times New Roman" w:cs="Times New Roman"/>
          <w:sz w:val="24"/>
          <w:szCs w:val="24"/>
        </w:rPr>
        <w:t xml:space="preserve"> škole je kvalitetno</w:t>
      </w:r>
      <w:r w:rsidR="0005768D" w:rsidRPr="00724C18">
        <w:rPr>
          <w:rFonts w:ascii="Times New Roman" w:hAnsi="Times New Roman" w:cs="Times New Roman"/>
          <w:sz w:val="24"/>
          <w:szCs w:val="24"/>
        </w:rPr>
        <w:t xml:space="preserve"> </w:t>
      </w:r>
      <w:r w:rsidRPr="00724C18">
        <w:rPr>
          <w:rFonts w:ascii="Times New Roman" w:hAnsi="Times New Roman" w:cs="Times New Roman"/>
          <w:sz w:val="24"/>
          <w:szCs w:val="24"/>
        </w:rPr>
        <w:t>obrazovanje učenika u zdravstvu kao:</w:t>
      </w:r>
    </w:p>
    <w:p w:rsidR="00934ED3" w:rsidRPr="00724C18" w:rsidRDefault="00934ED3" w:rsidP="00A00D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Stalnim usavršavanjem nastavnika (seminari,</w:t>
      </w:r>
      <w:r w:rsidR="00BE129D" w:rsidRPr="00724C18">
        <w:rPr>
          <w:rFonts w:ascii="Times New Roman" w:hAnsi="Times New Roman" w:cs="Times New Roman"/>
          <w:sz w:val="24"/>
          <w:szCs w:val="24"/>
        </w:rPr>
        <w:t xml:space="preserve"> </w:t>
      </w:r>
      <w:r w:rsidRPr="00724C18">
        <w:rPr>
          <w:rFonts w:ascii="Times New Roman" w:hAnsi="Times New Roman" w:cs="Times New Roman"/>
          <w:sz w:val="24"/>
          <w:szCs w:val="24"/>
        </w:rPr>
        <w:t>str</w:t>
      </w:r>
      <w:r w:rsidR="002669FA" w:rsidRPr="00724C18">
        <w:rPr>
          <w:rFonts w:ascii="Times New Roman" w:hAnsi="Times New Roman" w:cs="Times New Roman"/>
          <w:sz w:val="24"/>
          <w:szCs w:val="24"/>
        </w:rPr>
        <w:t xml:space="preserve">učni </w:t>
      </w:r>
      <w:r w:rsidRPr="00724C18">
        <w:rPr>
          <w:rFonts w:ascii="Times New Roman" w:hAnsi="Times New Roman" w:cs="Times New Roman"/>
          <w:sz w:val="24"/>
          <w:szCs w:val="24"/>
        </w:rPr>
        <w:t>skupovi,</w:t>
      </w:r>
      <w:r w:rsidR="00BE129D" w:rsidRPr="00724C18">
        <w:rPr>
          <w:rFonts w:ascii="Times New Roman" w:hAnsi="Times New Roman" w:cs="Times New Roman"/>
          <w:sz w:val="24"/>
          <w:szCs w:val="24"/>
        </w:rPr>
        <w:t xml:space="preserve"> </w:t>
      </w:r>
      <w:r w:rsidRPr="00724C18">
        <w:rPr>
          <w:rFonts w:ascii="Times New Roman" w:hAnsi="Times New Roman" w:cs="Times New Roman"/>
          <w:sz w:val="24"/>
          <w:szCs w:val="24"/>
        </w:rPr>
        <w:t>aktivi) i podizanjem nastavnog standarda na višu razinu;</w:t>
      </w:r>
    </w:p>
    <w:p w:rsidR="00934ED3" w:rsidRPr="00724C18" w:rsidRDefault="00934ED3" w:rsidP="00A00D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Poticanjem učenika na izražavanje kreativnosti i sposobnosti kroz uključivanje u slobodne aktivnosti, natjecanja, razmjene učenika i sl., kako bi utjecali na intelektualni, socijalni, zdravstveni, duhovni i tjelesni razvoj učenika;</w:t>
      </w:r>
    </w:p>
    <w:p w:rsidR="00934ED3" w:rsidRPr="00724C18" w:rsidRDefault="00934ED3" w:rsidP="00A00DE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Organiziranjem zajedničkih aktivnosti učenika i nastavnika tijekom izvannastavnih aktivnosti i druženja kroz razne odgojno-obrazovne programe, naročito programe u zdravstvu.</w:t>
      </w:r>
    </w:p>
    <w:p w:rsidR="00B84059" w:rsidRPr="00724C18" w:rsidRDefault="00B84059" w:rsidP="00934ED3">
      <w:pPr>
        <w:spacing w:after="0" w:line="240" w:lineRule="auto"/>
        <w:rPr>
          <w:rFonts w:ascii="Times New Roman" w:hAnsi="Times New Roman" w:cs="Times New Roman"/>
        </w:rPr>
      </w:pPr>
      <w:r w:rsidRPr="00724C18">
        <w:rPr>
          <w:rFonts w:ascii="Times New Roman" w:hAnsi="Times New Roman" w:cs="Times New Roman"/>
        </w:rPr>
        <w:t xml:space="preserve">      </w:t>
      </w:r>
    </w:p>
    <w:p w:rsidR="00A00DEF" w:rsidRPr="00724C18" w:rsidRDefault="00A00DEF" w:rsidP="00934ED3">
      <w:pPr>
        <w:spacing w:after="0" w:line="240" w:lineRule="auto"/>
        <w:rPr>
          <w:rFonts w:ascii="Times New Roman" w:hAnsi="Times New Roman" w:cs="Times New Roman"/>
        </w:rPr>
      </w:pPr>
    </w:p>
    <w:p w:rsidR="00644308" w:rsidRPr="00724C18" w:rsidRDefault="00644308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80565562"/>
    </w:p>
    <w:p w:rsidR="00644308" w:rsidRPr="00724C18" w:rsidRDefault="00644308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7E6" w:rsidRDefault="002C77E6" w:rsidP="002C7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OBRAZLOŽENJE OPĆEG DIJELA PRIJEDLOGA FINACIJSKOG PLANA ŠKOLE ZA 2026. GODINU</w:t>
      </w:r>
    </w:p>
    <w:p w:rsidR="002C77E6" w:rsidRDefault="002C77E6" w:rsidP="002C77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Strukturu Prijedloga financijskog plana čine:</w:t>
      </w:r>
    </w:p>
    <w:p w:rsidR="0071335C" w:rsidRDefault="0071335C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35C" w:rsidRPr="0071335C" w:rsidRDefault="0071335C" w:rsidP="0071335C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Hlk211843894"/>
      <w:r w:rsidRPr="0071335C">
        <w:rPr>
          <w:rFonts w:ascii="Times New Roman" w:hAnsi="Times New Roman" w:cs="Times New Roman"/>
          <w:b/>
          <w:sz w:val="24"/>
          <w:szCs w:val="24"/>
        </w:rPr>
        <w:t>PRIHODI POSLOVANJA</w:t>
      </w:r>
    </w:p>
    <w:bookmarkEnd w:id="1"/>
    <w:p w:rsidR="0071335C" w:rsidRPr="0071335C" w:rsidRDefault="0071335C" w:rsidP="0071335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069"/>
        <w:gridCol w:w="2317"/>
        <w:gridCol w:w="1843"/>
        <w:gridCol w:w="1276"/>
      </w:tblGrid>
      <w:tr w:rsidR="0071335C" w:rsidRPr="0064420D" w:rsidTr="00765F59">
        <w:trPr>
          <w:cantSplit/>
          <w:trHeight w:val="133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35C" w:rsidRPr="0064420D" w:rsidRDefault="0071335C" w:rsidP="00765F59">
            <w:pPr>
              <w:jc w:val="center"/>
              <w:rPr>
                <w:rFonts w:ascii="Times New Roman" w:hAnsi="Times New Roman"/>
              </w:rPr>
            </w:pPr>
            <w:r w:rsidRPr="0064420D">
              <w:rPr>
                <w:rFonts w:ascii="Times New Roman" w:hAnsi="Times New Roman"/>
              </w:rPr>
              <w:t>Prihodi/primici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35C" w:rsidRPr="0064420D" w:rsidRDefault="0071335C" w:rsidP="00765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 2025.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35C" w:rsidRPr="0064420D" w:rsidRDefault="0071335C" w:rsidP="00765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Prijedlog plana za 2026.</w:t>
            </w:r>
            <w:r w:rsidRPr="0064420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35C" w:rsidRPr="0064420D" w:rsidRDefault="0071335C" w:rsidP="00765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Index</w:t>
            </w:r>
          </w:p>
        </w:tc>
      </w:tr>
      <w:tr w:rsidR="0071335C" w:rsidRPr="0064420D" w:rsidTr="00765F59">
        <w:trPr>
          <w:trHeight w:val="32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35C" w:rsidRPr="0064420D" w:rsidRDefault="0071335C" w:rsidP="00765F59">
            <w:pPr>
              <w:rPr>
                <w:rFonts w:ascii="Times New Roman" w:hAnsi="Times New Roman"/>
                <w:b/>
              </w:rPr>
            </w:pPr>
            <w:r w:rsidRPr="0064420D">
              <w:rPr>
                <w:rFonts w:ascii="Times New Roman" w:hAnsi="Times New Roman"/>
                <w:b/>
              </w:rPr>
              <w:t>Prihodi poslovanja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35C" w:rsidRPr="0064420D" w:rsidRDefault="0071335C" w:rsidP="00765F5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71335C" w:rsidRPr="0064420D" w:rsidRDefault="0071335C" w:rsidP="00765F59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8.520.130,16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35C" w:rsidRPr="0064420D" w:rsidRDefault="0071335C" w:rsidP="00765F59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2.514.814,02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35C" w:rsidRPr="0064420D" w:rsidRDefault="00727620" w:rsidP="00765F59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29,5</w:t>
            </w:r>
          </w:p>
        </w:tc>
      </w:tr>
      <w:tr w:rsidR="0071335C" w:rsidRPr="0064420D" w:rsidTr="00765F59">
        <w:trPr>
          <w:trHeight w:val="13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35C" w:rsidRPr="0064420D" w:rsidRDefault="0071335C" w:rsidP="0076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63-Pomoći iz inozemstva i od subjekata unutar općeg proračuna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35C" w:rsidRPr="0064420D" w:rsidRDefault="007A012C" w:rsidP="00765F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2.058.000,00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35C" w:rsidRPr="0064420D" w:rsidRDefault="007A012C" w:rsidP="00765F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2.238.715,50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35C" w:rsidRPr="0064420D" w:rsidRDefault="007A012C" w:rsidP="00765F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108,8</w:t>
            </w:r>
          </w:p>
        </w:tc>
      </w:tr>
      <w:tr w:rsidR="0071335C" w:rsidRPr="0064420D" w:rsidTr="00765F59">
        <w:trPr>
          <w:trHeight w:val="13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335C" w:rsidRPr="0064420D" w:rsidRDefault="0071335C" w:rsidP="0076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66-Prihodi od prodaje proizvoda i robe te pruženih usluga i prihodi od donacija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35C" w:rsidRPr="0064420D" w:rsidRDefault="007A012C" w:rsidP="00765F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35C" w:rsidRPr="0064420D" w:rsidRDefault="007A012C" w:rsidP="00765F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1335C" w:rsidRPr="0064420D" w:rsidRDefault="007A012C" w:rsidP="00765F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203,00</w:t>
            </w:r>
          </w:p>
        </w:tc>
      </w:tr>
      <w:tr w:rsidR="0071335C" w:rsidRPr="0064420D" w:rsidTr="00765F59">
        <w:trPr>
          <w:trHeight w:val="139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1335C" w:rsidRPr="0064420D" w:rsidRDefault="0071335C" w:rsidP="00765F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67-</w:t>
            </w:r>
            <w:r>
              <w:t xml:space="preserve"> </w:t>
            </w:r>
            <w:r w:rsidRPr="00FD26F3">
              <w:rPr>
                <w:rFonts w:ascii="Times New Roman" w:hAnsi="Times New Roman"/>
              </w:rPr>
              <w:t xml:space="preserve">Prihodi iz nadležnog proračuna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35C" w:rsidRPr="0064420D" w:rsidRDefault="007A012C" w:rsidP="00765F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6.441.330,16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35C" w:rsidRPr="0064420D" w:rsidRDefault="007A012C" w:rsidP="00765F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235.148,52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1335C" w:rsidRPr="0064420D" w:rsidRDefault="007A012C" w:rsidP="00765F5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</w:tbl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C31" w:rsidRDefault="00D853A5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tablici je vidljivo da će Prihodi poslovanj</w:t>
      </w:r>
      <w:r w:rsidR="00BC5E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2026. biti značajno manji u odnosu na 2025. zbog završetka izgradnje </w:t>
      </w:r>
      <w:r w:rsidR="00C65C31">
        <w:rPr>
          <w:rFonts w:ascii="Times New Roman" w:hAnsi="Times New Roman" w:cs="Times New Roman"/>
          <w:sz w:val="24"/>
          <w:szCs w:val="24"/>
        </w:rPr>
        <w:t xml:space="preserve">nove škole, koja je u 2025. godini bila većinom financirana iz </w:t>
      </w:r>
    </w:p>
    <w:p w:rsidR="002C77E6" w:rsidRDefault="00C65C31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67- Prihodi iz nadležnog proračuna.</w:t>
      </w:r>
    </w:p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7F7" w:rsidRDefault="009127F7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7F7" w:rsidRDefault="009127F7" w:rsidP="009127F7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RASHODI </w:t>
      </w:r>
      <w:r w:rsidRPr="0071335C">
        <w:rPr>
          <w:rFonts w:ascii="Times New Roman" w:hAnsi="Times New Roman" w:cs="Times New Roman"/>
          <w:b/>
          <w:sz w:val="24"/>
          <w:szCs w:val="24"/>
        </w:rPr>
        <w:t xml:space="preserve"> POSLOVANJA</w:t>
      </w:r>
    </w:p>
    <w:p w:rsidR="008B2436" w:rsidRDefault="008B2436" w:rsidP="008B2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2436" w:rsidRDefault="008B2436" w:rsidP="008B2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4"/>
        <w:gridCol w:w="1530"/>
        <w:gridCol w:w="1843"/>
        <w:gridCol w:w="1163"/>
      </w:tblGrid>
      <w:tr w:rsidR="008B2436" w:rsidTr="008B2436">
        <w:trPr>
          <w:cantSplit/>
          <w:trHeight w:val="8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8B24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Rashodi/izdaci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8B24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 202</w:t>
            </w:r>
            <w:r w:rsidR="00F722B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8B24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Prijedlog plana za 202</w:t>
            </w:r>
            <w:r w:rsidR="00F722B0">
              <w:rPr>
                <w:rFonts w:ascii="Times New Roman" w:hAnsi="Times New Roman"/>
              </w:rPr>
              <w:t>6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 xml:space="preserve">.g.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8B2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Index</w:t>
            </w:r>
          </w:p>
        </w:tc>
      </w:tr>
      <w:tr w:rsidR="008B2436" w:rsidTr="008B2436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8B243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Ukupni rashodi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A25F6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8.561.323,34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A25F6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2.590.779,52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A25F67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30,3</w:t>
            </w:r>
          </w:p>
        </w:tc>
      </w:tr>
      <w:tr w:rsidR="008B2436" w:rsidTr="008B2436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8B2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31-Rashodi za zaposlene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764B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2.034.975,28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764B2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2.390.729,52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0477D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117,48</w:t>
            </w:r>
          </w:p>
        </w:tc>
      </w:tr>
      <w:tr w:rsidR="008B2436" w:rsidTr="008B2436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8B2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32-Materijalni rashodi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CE00E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287.863,38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2B314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372.901,52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2B314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129,5</w:t>
            </w:r>
          </w:p>
        </w:tc>
      </w:tr>
      <w:tr w:rsidR="008B2436" w:rsidTr="00F85DC1">
        <w:trPr>
          <w:trHeight w:val="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8B2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34-Financijski rashodi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5468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5468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25,022,00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8B2436">
            <w:pPr>
              <w:jc w:val="right"/>
              <w:rPr>
                <w:rFonts w:ascii="Times New Roman" w:hAnsi="Times New Roman"/>
              </w:rPr>
            </w:pPr>
          </w:p>
        </w:tc>
      </w:tr>
      <w:tr w:rsidR="008B2436" w:rsidTr="00F85DC1">
        <w:trPr>
          <w:trHeight w:val="3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54685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  <w:r w:rsidR="008B243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Ostale naknade građanima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5468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2436" w:rsidRDefault="0054685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32.706,00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436" w:rsidRDefault="008B2436">
            <w:pPr>
              <w:jc w:val="right"/>
              <w:rPr>
                <w:rFonts w:ascii="Times New Roman" w:hAnsi="Times New Roman"/>
              </w:rPr>
            </w:pPr>
          </w:p>
        </w:tc>
      </w:tr>
      <w:tr w:rsidR="00F85DC1" w:rsidTr="00F85DC1">
        <w:trPr>
          <w:trHeight w:val="3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DC1" w:rsidRDefault="00F85D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42- Rashodi za nabavu </w:t>
            </w:r>
            <w:proofErr w:type="spellStart"/>
            <w:r>
              <w:rPr>
                <w:rFonts w:ascii="Times New Roman" w:hAnsi="Times New Roman"/>
              </w:rPr>
              <w:t>neproizvedene</w:t>
            </w:r>
            <w:proofErr w:type="spellEnd"/>
            <w:r>
              <w:rPr>
                <w:rFonts w:ascii="Times New Roman" w:hAnsi="Times New Roman"/>
              </w:rPr>
              <w:t xml:space="preserve"> dugotrajne imovine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DC1" w:rsidRDefault="00461EB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1.156,32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DC1" w:rsidRDefault="00461EB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DC1" w:rsidRDefault="00461EB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</w:t>
            </w:r>
          </w:p>
        </w:tc>
      </w:tr>
      <w:tr w:rsidR="00BD3B24" w:rsidTr="00F85DC1">
        <w:trPr>
          <w:trHeight w:val="3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B24" w:rsidRDefault="00BD3B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45- Rashodi za ulaganje u nefinancijsku imovinu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B24" w:rsidRDefault="00E706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6.525.191,74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3B24" w:rsidRDefault="00E706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200.000,00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B24" w:rsidRDefault="00E706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</w:p>
        </w:tc>
      </w:tr>
    </w:tbl>
    <w:p w:rsidR="008B2436" w:rsidRDefault="008B2436" w:rsidP="008B2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EBD" w:rsidRDefault="00BC5EBD" w:rsidP="008B2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5EBD" w:rsidRDefault="00BC5EBD" w:rsidP="008B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tablice je vidljivo da će Rashodi poslovanja u 2026. biti značajno manji u odnosu na 2025. godinu zbog završetka izgradnje nove škole.</w:t>
      </w:r>
    </w:p>
    <w:p w:rsidR="0070070F" w:rsidRDefault="0070070F" w:rsidP="008B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70F" w:rsidRDefault="0070070F" w:rsidP="00700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070F" w:rsidRPr="00B567B4" w:rsidRDefault="0070070F" w:rsidP="00700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Planirani prihodi poslovanja su manji za 75.965,50 EUR od rashoda poslovanja, što znači da se dio rashoda planira pokriti viškom prihoda.</w:t>
      </w:r>
    </w:p>
    <w:p w:rsidR="0070070F" w:rsidRPr="00704012" w:rsidRDefault="0070070F" w:rsidP="0070070F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70F" w:rsidRDefault="0070070F" w:rsidP="008B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70F" w:rsidRDefault="0070070F" w:rsidP="008B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012" w:rsidRDefault="00704012" w:rsidP="008B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012" w:rsidRPr="0070070F" w:rsidRDefault="0070070F" w:rsidP="0070070F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IZDACI ZA FINANCIJSKU IMOVINU I OTPLATU ZAJMOVA</w:t>
      </w:r>
    </w:p>
    <w:p w:rsidR="0070070F" w:rsidRDefault="0070070F" w:rsidP="00700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70F" w:rsidRDefault="0070070F" w:rsidP="00700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2025. godini je počela otplata glavnice kredita za izgradnju nove škole u iznosu 150.419,00 EUR, te je u 2026. godini planiran isti iznos za otplatu glavnice kredita.</w:t>
      </w:r>
    </w:p>
    <w:p w:rsidR="0070070F" w:rsidRDefault="0070070F" w:rsidP="00700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70F" w:rsidRPr="0070070F" w:rsidRDefault="0070070F" w:rsidP="00700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012" w:rsidRDefault="00704012" w:rsidP="00B567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070F" w:rsidRDefault="0070070F" w:rsidP="00B567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012" w:rsidRPr="00704012" w:rsidRDefault="00704012" w:rsidP="00704012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27F7" w:rsidRPr="009127F7" w:rsidRDefault="009127F7" w:rsidP="009127F7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AB3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203" w:rsidRDefault="00AB3203" w:rsidP="00700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OBRAZLOŽENJE POSEBNOG  DIJELA PRIJEDLOGA FINACIJSKOG PLANA ŠKOLE ZA 2026. GODINU</w:t>
      </w:r>
    </w:p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7E6" w:rsidRDefault="002C77E6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DEF" w:rsidRPr="00724C18" w:rsidRDefault="00A00DEF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PROGRAM 2204-SREDNJE ŠKOLSTVO STANDARD</w:t>
      </w:r>
    </w:p>
    <w:bookmarkEnd w:id="0"/>
    <w:p w:rsidR="00A00DEF" w:rsidRPr="00724C18" w:rsidRDefault="00A00DEF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DEF" w:rsidRPr="00724C18" w:rsidRDefault="00A00DEF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 xml:space="preserve">Opis programa </w:t>
      </w:r>
    </w:p>
    <w:p w:rsidR="00A00DEF" w:rsidRPr="00724C18" w:rsidRDefault="00A00DEF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0DEF" w:rsidRPr="00724C18" w:rsidRDefault="00A00DEF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Program 2204-„Srednje školstvo standard“ namijenjen je financiranju temeljnih potreba za poslovanje Škole. Iz sredstava navedenog programa pokrivaju se materijalni rashodi Škole i f</w:t>
      </w:r>
      <w:r w:rsidR="00914742" w:rsidRPr="00724C18">
        <w:rPr>
          <w:rFonts w:ascii="Times New Roman" w:hAnsi="Times New Roman" w:cs="Times New Roman"/>
          <w:sz w:val="24"/>
          <w:szCs w:val="24"/>
        </w:rPr>
        <w:t>i</w:t>
      </w:r>
      <w:r w:rsidRPr="00724C18">
        <w:rPr>
          <w:rFonts w:ascii="Times New Roman" w:hAnsi="Times New Roman" w:cs="Times New Roman"/>
          <w:sz w:val="24"/>
          <w:szCs w:val="24"/>
        </w:rPr>
        <w:t>nancira</w:t>
      </w:r>
      <w:r w:rsidR="00914742" w:rsidRPr="00724C18">
        <w:rPr>
          <w:rFonts w:ascii="Times New Roman" w:hAnsi="Times New Roman" w:cs="Times New Roman"/>
          <w:sz w:val="24"/>
          <w:szCs w:val="24"/>
        </w:rPr>
        <w:t>n</w:t>
      </w:r>
      <w:r w:rsidRPr="00724C18">
        <w:rPr>
          <w:rFonts w:ascii="Times New Roman" w:hAnsi="Times New Roman" w:cs="Times New Roman"/>
          <w:sz w:val="24"/>
          <w:szCs w:val="24"/>
        </w:rPr>
        <w:t xml:space="preserve">ju plaće djelatnika. Ukupni iznos rashoda za 2025.g. planirani na razini programa iznosi  </w:t>
      </w:r>
      <w:r w:rsidR="009C598A">
        <w:rPr>
          <w:rFonts w:ascii="Times New Roman" w:hAnsi="Times New Roman" w:cs="Times New Roman"/>
          <w:sz w:val="24"/>
          <w:szCs w:val="24"/>
        </w:rPr>
        <w:t xml:space="preserve">2.115.526,52 </w:t>
      </w:r>
      <w:r w:rsidR="009F6AB8" w:rsidRPr="00724C18">
        <w:rPr>
          <w:rFonts w:ascii="Times New Roman" w:hAnsi="Times New Roman" w:cs="Times New Roman"/>
          <w:sz w:val="24"/>
          <w:szCs w:val="24"/>
        </w:rPr>
        <w:t>EUR</w:t>
      </w:r>
      <w:r w:rsidRPr="00724C18">
        <w:rPr>
          <w:rFonts w:ascii="Times New Roman" w:hAnsi="Times New Roman" w:cs="Times New Roman"/>
          <w:sz w:val="24"/>
          <w:szCs w:val="24"/>
        </w:rPr>
        <w:t xml:space="preserve"> , a program obuhvaća aktivnost</w:t>
      </w:r>
      <w:r w:rsidR="00C517A1" w:rsidRPr="00724C18">
        <w:rPr>
          <w:rFonts w:ascii="Times New Roman" w:hAnsi="Times New Roman" w:cs="Times New Roman"/>
          <w:sz w:val="24"/>
          <w:szCs w:val="24"/>
        </w:rPr>
        <w:t xml:space="preserve"> A2204-01 Djelatnost srednjih škola i</w:t>
      </w:r>
      <w:r w:rsidRPr="00724C18">
        <w:rPr>
          <w:rFonts w:ascii="Times New Roman" w:hAnsi="Times New Roman" w:cs="Times New Roman"/>
          <w:sz w:val="24"/>
          <w:szCs w:val="24"/>
        </w:rPr>
        <w:t xml:space="preserve"> „A2204-07 Administracija i upravljanje</w:t>
      </w:r>
      <w:r w:rsidR="009C3153" w:rsidRPr="00724C18">
        <w:rPr>
          <w:rFonts w:ascii="Times New Roman" w:hAnsi="Times New Roman" w:cs="Times New Roman"/>
          <w:sz w:val="24"/>
          <w:szCs w:val="24"/>
        </w:rPr>
        <w:t>“.</w:t>
      </w:r>
    </w:p>
    <w:p w:rsidR="00914742" w:rsidRPr="00724C18" w:rsidRDefault="00914742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742" w:rsidRPr="00724C18" w:rsidRDefault="00914742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 xml:space="preserve">Šifra i naziv programa </w:t>
      </w:r>
    </w:p>
    <w:p w:rsidR="00914742" w:rsidRPr="00724C18" w:rsidRDefault="00914742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4742" w:rsidRPr="00724C18" w:rsidRDefault="00914742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Aktivnost A2204-01 – Djelatnost srednjih škola</w:t>
      </w:r>
    </w:p>
    <w:p w:rsidR="006E55D1" w:rsidRPr="00724C18" w:rsidRDefault="006E55D1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6E55D1" w:rsidRPr="00724C18" w:rsidTr="0010097E">
        <w:trPr>
          <w:trHeight w:val="857"/>
        </w:trPr>
        <w:tc>
          <w:tcPr>
            <w:tcW w:w="1542" w:type="dxa"/>
            <w:shd w:val="clear" w:color="auto" w:fill="D9D9D9"/>
          </w:tcPr>
          <w:p w:rsidR="006E55D1" w:rsidRPr="00724C18" w:rsidRDefault="006E55D1" w:rsidP="00E44FED">
            <w:pPr>
              <w:jc w:val="both"/>
              <w:rPr>
                <w:rFonts w:ascii="Times New Roman" w:hAnsi="Times New Roman" w:cs="Times New Roman"/>
              </w:rPr>
            </w:pPr>
            <w:bookmarkStart w:id="3" w:name="_Hlk180500347"/>
          </w:p>
        </w:tc>
        <w:tc>
          <w:tcPr>
            <w:tcW w:w="1539" w:type="dxa"/>
            <w:shd w:val="clear" w:color="auto" w:fill="D9D9D9"/>
          </w:tcPr>
          <w:p w:rsidR="006E55D1" w:rsidRPr="00724C18" w:rsidRDefault="006E55D1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Plan 202</w:t>
            </w:r>
            <w:r w:rsidR="00B536F7">
              <w:rPr>
                <w:rFonts w:ascii="Times New Roman" w:hAnsi="Times New Roman" w:cs="Times New Roman"/>
              </w:rPr>
              <w:t>5</w:t>
            </w:r>
            <w:r w:rsidRPr="00724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E55D1" w:rsidRPr="00724C18" w:rsidRDefault="006E55D1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Plan 202</w:t>
            </w:r>
            <w:r w:rsidR="00B536F7">
              <w:rPr>
                <w:rFonts w:ascii="Times New Roman" w:hAnsi="Times New Roman" w:cs="Times New Roman"/>
              </w:rPr>
              <w:t>6</w:t>
            </w:r>
            <w:r w:rsidRPr="00724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E55D1" w:rsidRPr="00724C18" w:rsidRDefault="006E55D1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Procjena 202</w:t>
            </w:r>
            <w:r w:rsidR="00B536F7">
              <w:rPr>
                <w:rFonts w:ascii="Times New Roman" w:hAnsi="Times New Roman" w:cs="Times New Roman"/>
              </w:rPr>
              <w:t>7</w:t>
            </w:r>
            <w:r w:rsidRPr="00724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6E55D1" w:rsidRPr="00724C18" w:rsidRDefault="006E55D1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Procjena 202</w:t>
            </w:r>
            <w:r w:rsidR="00B536F7">
              <w:rPr>
                <w:rFonts w:ascii="Times New Roman" w:hAnsi="Times New Roman" w:cs="Times New Roman"/>
              </w:rPr>
              <w:t>8</w:t>
            </w:r>
            <w:r w:rsidRPr="00724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shd w:val="clear" w:color="auto" w:fill="D9D9D9"/>
          </w:tcPr>
          <w:p w:rsidR="006E55D1" w:rsidRPr="00724C18" w:rsidRDefault="006E55D1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Indeks 202</w:t>
            </w:r>
            <w:r w:rsidR="00B536F7">
              <w:rPr>
                <w:rFonts w:ascii="Times New Roman" w:hAnsi="Times New Roman" w:cs="Times New Roman"/>
              </w:rPr>
              <w:t>6</w:t>
            </w:r>
            <w:r w:rsidRPr="00724C18">
              <w:rPr>
                <w:rFonts w:ascii="Times New Roman" w:hAnsi="Times New Roman" w:cs="Times New Roman"/>
              </w:rPr>
              <w:t>/202</w:t>
            </w:r>
            <w:r w:rsidR="00B536F7">
              <w:rPr>
                <w:rFonts w:ascii="Times New Roman" w:hAnsi="Times New Roman" w:cs="Times New Roman"/>
              </w:rPr>
              <w:t>5</w:t>
            </w:r>
          </w:p>
        </w:tc>
      </w:tr>
      <w:tr w:rsidR="006E55D1" w:rsidRPr="00724C18" w:rsidTr="00C517A1">
        <w:trPr>
          <w:trHeight w:val="737"/>
        </w:trPr>
        <w:tc>
          <w:tcPr>
            <w:tcW w:w="1542" w:type="dxa"/>
          </w:tcPr>
          <w:p w:rsidR="006E55D1" w:rsidRPr="00724C18" w:rsidRDefault="006E55D1" w:rsidP="00914742">
            <w:pPr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A 2204-01</w:t>
            </w:r>
          </w:p>
        </w:tc>
        <w:tc>
          <w:tcPr>
            <w:tcW w:w="1539" w:type="dxa"/>
          </w:tcPr>
          <w:p w:rsidR="006E55D1" w:rsidRPr="00724C18" w:rsidRDefault="009C598A" w:rsidP="00914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135.526,52</w:t>
            </w:r>
          </w:p>
        </w:tc>
        <w:tc>
          <w:tcPr>
            <w:tcW w:w="1539" w:type="dxa"/>
          </w:tcPr>
          <w:p w:rsidR="006E55D1" w:rsidRPr="00724C18" w:rsidRDefault="009C598A" w:rsidP="00914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135.526,52</w:t>
            </w:r>
          </w:p>
        </w:tc>
        <w:tc>
          <w:tcPr>
            <w:tcW w:w="1539" w:type="dxa"/>
          </w:tcPr>
          <w:p w:rsidR="006E55D1" w:rsidRPr="00724C18" w:rsidRDefault="0010097E" w:rsidP="00914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137.559,42</w:t>
            </w:r>
          </w:p>
        </w:tc>
        <w:tc>
          <w:tcPr>
            <w:tcW w:w="1539" w:type="dxa"/>
          </w:tcPr>
          <w:p w:rsidR="00914742" w:rsidRPr="00724C18" w:rsidRDefault="0010097E" w:rsidP="00914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139.622,80</w:t>
            </w:r>
          </w:p>
        </w:tc>
        <w:tc>
          <w:tcPr>
            <w:tcW w:w="1877" w:type="dxa"/>
          </w:tcPr>
          <w:p w:rsidR="006E55D1" w:rsidRPr="00724C18" w:rsidRDefault="00914742" w:rsidP="00914742">
            <w:pPr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100,00</w:t>
            </w:r>
          </w:p>
        </w:tc>
      </w:tr>
      <w:bookmarkEnd w:id="3"/>
    </w:tbl>
    <w:p w:rsidR="009C3153" w:rsidRPr="00724C18" w:rsidRDefault="009C3153" w:rsidP="00934E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742" w:rsidRPr="00724C18" w:rsidRDefault="00914742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Opis aktivnosti</w:t>
      </w:r>
    </w:p>
    <w:p w:rsidR="00C517A1" w:rsidRPr="00724C18" w:rsidRDefault="00C517A1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2D8" w:rsidRPr="00724C18" w:rsidRDefault="00914742" w:rsidP="00B03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Unutar programa 2204, aktivnosti A2204-01, prihodi za planiranje rashoda, koji se financiraju minimalnim standardima iz decentraliziranih sredstava, planirali smo primjenom financijskih pokazatelja i Uputa za izradu proračuna, što znači da smo prim</w:t>
      </w:r>
      <w:r w:rsidR="00644308" w:rsidRPr="00724C18">
        <w:rPr>
          <w:rFonts w:ascii="Times New Roman" w:hAnsi="Times New Roman" w:cs="Times New Roman"/>
          <w:sz w:val="24"/>
          <w:szCs w:val="24"/>
        </w:rPr>
        <w:t>i</w:t>
      </w:r>
      <w:r w:rsidRPr="00724C18">
        <w:rPr>
          <w:rFonts w:ascii="Times New Roman" w:hAnsi="Times New Roman" w:cs="Times New Roman"/>
          <w:sz w:val="24"/>
          <w:szCs w:val="24"/>
        </w:rPr>
        <w:t xml:space="preserve">jenili zadane indekse i metodologiju </w:t>
      </w:r>
      <w:r w:rsidR="009914AC" w:rsidRPr="00724C18">
        <w:rPr>
          <w:rFonts w:ascii="Times New Roman" w:hAnsi="Times New Roman" w:cs="Times New Roman"/>
          <w:sz w:val="24"/>
          <w:szCs w:val="24"/>
        </w:rPr>
        <w:t xml:space="preserve">izrade proračuna i dozvoljenih limita. Dodijeljena sredstva iznose </w:t>
      </w:r>
      <w:r w:rsidR="00F65603">
        <w:rPr>
          <w:rFonts w:ascii="Times New Roman" w:hAnsi="Times New Roman" w:cs="Times New Roman"/>
          <w:sz w:val="24"/>
          <w:szCs w:val="24"/>
        </w:rPr>
        <w:t>135.526,52</w:t>
      </w:r>
      <w:r w:rsidR="009914AC" w:rsidRPr="00724C18">
        <w:rPr>
          <w:rFonts w:ascii="Times New Roman" w:hAnsi="Times New Roman" w:cs="Times New Roman"/>
          <w:sz w:val="24"/>
          <w:szCs w:val="24"/>
        </w:rPr>
        <w:t xml:space="preserve"> EUR , jednaka kao u 202</w:t>
      </w:r>
      <w:r w:rsidR="00F65603">
        <w:rPr>
          <w:rFonts w:ascii="Times New Roman" w:hAnsi="Times New Roman" w:cs="Times New Roman"/>
          <w:sz w:val="24"/>
          <w:szCs w:val="24"/>
        </w:rPr>
        <w:t>5.</w:t>
      </w:r>
      <w:r w:rsidR="009914AC" w:rsidRPr="00724C18">
        <w:rPr>
          <w:rFonts w:ascii="Times New Roman" w:hAnsi="Times New Roman" w:cs="Times New Roman"/>
          <w:sz w:val="24"/>
          <w:szCs w:val="24"/>
        </w:rPr>
        <w:t>.godini s blag</w:t>
      </w:r>
      <w:r w:rsidR="00B032D8" w:rsidRPr="00724C18">
        <w:rPr>
          <w:rFonts w:ascii="Times New Roman" w:hAnsi="Times New Roman" w:cs="Times New Roman"/>
          <w:sz w:val="24"/>
          <w:szCs w:val="24"/>
        </w:rPr>
        <w:t>om tendencijom rasta u 2026. i 2027. godini.</w:t>
      </w:r>
    </w:p>
    <w:p w:rsidR="00B032D8" w:rsidRPr="00724C18" w:rsidRDefault="00B032D8" w:rsidP="00B03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18">
        <w:rPr>
          <w:rFonts w:ascii="Times New Roman" w:hAnsi="Times New Roman" w:cs="Times New Roman"/>
          <w:sz w:val="24"/>
          <w:szCs w:val="24"/>
        </w:rPr>
        <w:t>Raspored sredstava po kontima troška napravljen je sukladno potrebama škole  u 202</w:t>
      </w:r>
      <w:r w:rsidR="00F65603">
        <w:rPr>
          <w:rFonts w:ascii="Times New Roman" w:hAnsi="Times New Roman" w:cs="Times New Roman"/>
          <w:sz w:val="24"/>
          <w:szCs w:val="24"/>
        </w:rPr>
        <w:t>6</w:t>
      </w:r>
      <w:r w:rsidRPr="00724C18">
        <w:rPr>
          <w:rFonts w:ascii="Times New Roman" w:hAnsi="Times New Roman" w:cs="Times New Roman"/>
          <w:sz w:val="24"/>
          <w:szCs w:val="24"/>
        </w:rPr>
        <w:t>.godini u  ostvarenju dugoročnih ciljeva i zadataka škola</w:t>
      </w:r>
      <w:r w:rsidR="00C517A1" w:rsidRPr="00724C18">
        <w:rPr>
          <w:rFonts w:ascii="Times New Roman" w:hAnsi="Times New Roman" w:cs="Times New Roman"/>
          <w:sz w:val="24"/>
          <w:szCs w:val="24"/>
        </w:rPr>
        <w:t>.</w:t>
      </w:r>
    </w:p>
    <w:p w:rsidR="00BE129D" w:rsidRPr="00724C18" w:rsidRDefault="00BE129D" w:rsidP="00B03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29D" w:rsidRPr="00724C18" w:rsidRDefault="00BE129D" w:rsidP="00B03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29D" w:rsidRPr="00724C18" w:rsidRDefault="00C517A1" w:rsidP="00C517A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Aktivnost </w:t>
      </w:r>
      <w:r w:rsidR="008B4ED4"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2204-07 Administracija i upravljanje</w:t>
      </w:r>
    </w:p>
    <w:p w:rsidR="008B4ED4" w:rsidRPr="00724C18" w:rsidRDefault="008B4ED4" w:rsidP="008B4ED4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701"/>
        <w:gridCol w:w="1559"/>
        <w:gridCol w:w="1925"/>
      </w:tblGrid>
      <w:tr w:rsidR="000C24FB" w:rsidRPr="00724C18" w:rsidTr="00C517A1">
        <w:trPr>
          <w:trHeight w:val="735"/>
        </w:trPr>
        <w:tc>
          <w:tcPr>
            <w:tcW w:w="1271" w:type="dxa"/>
            <w:shd w:val="clear" w:color="auto" w:fill="D9D9D9"/>
          </w:tcPr>
          <w:p w:rsidR="008B4ED4" w:rsidRPr="00724C18" w:rsidRDefault="008B4ED4" w:rsidP="008B4ED4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4" w:name="_Hlk181171161"/>
          </w:p>
        </w:tc>
        <w:tc>
          <w:tcPr>
            <w:tcW w:w="1559" w:type="dxa"/>
            <w:shd w:val="clear" w:color="auto" w:fill="D9D9D9"/>
          </w:tcPr>
          <w:p w:rsidR="008B4ED4" w:rsidRPr="00724C18" w:rsidRDefault="008B4ED4" w:rsidP="000C24FB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202</w:t>
            </w:r>
            <w:r w:rsidR="00F65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D9D9D9"/>
          </w:tcPr>
          <w:p w:rsidR="008B4ED4" w:rsidRPr="00724C18" w:rsidRDefault="008B4ED4" w:rsidP="000C24FB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202</w:t>
            </w:r>
            <w:r w:rsidR="00F65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shd w:val="clear" w:color="auto" w:fill="D9D9D9"/>
          </w:tcPr>
          <w:p w:rsidR="008B4ED4" w:rsidRPr="00724C18" w:rsidRDefault="008B4ED4" w:rsidP="000C24FB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202</w:t>
            </w:r>
            <w:r w:rsidR="00F65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:rsidR="008B4ED4" w:rsidRPr="00724C18" w:rsidRDefault="008B4ED4" w:rsidP="000C24FB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202</w:t>
            </w:r>
            <w:r w:rsidR="00F65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25" w:type="dxa"/>
            <w:shd w:val="clear" w:color="auto" w:fill="D9D9D9"/>
          </w:tcPr>
          <w:p w:rsidR="008B4ED4" w:rsidRPr="00724C18" w:rsidRDefault="008B4ED4" w:rsidP="000C24FB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Indeks 202</w:t>
            </w:r>
            <w:r w:rsidR="00F65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/202</w:t>
            </w:r>
            <w:r w:rsidR="00F6560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0C24FB" w:rsidRPr="00724C18" w:rsidTr="00C517A1">
        <w:trPr>
          <w:trHeight w:val="406"/>
        </w:trPr>
        <w:tc>
          <w:tcPr>
            <w:tcW w:w="1271" w:type="dxa"/>
          </w:tcPr>
          <w:p w:rsidR="008B4ED4" w:rsidRPr="00724C18" w:rsidRDefault="008B4ED4" w:rsidP="008B4ED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lang w:eastAsia="hr-HR"/>
              </w:rPr>
              <w:t>A 2204-07</w:t>
            </w:r>
          </w:p>
        </w:tc>
        <w:tc>
          <w:tcPr>
            <w:tcW w:w="1559" w:type="dxa"/>
          </w:tcPr>
          <w:p w:rsidR="008B4ED4" w:rsidRPr="00724C18" w:rsidRDefault="00F65603" w:rsidP="000C24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1.744.500,00</w:t>
            </w:r>
          </w:p>
        </w:tc>
        <w:tc>
          <w:tcPr>
            <w:tcW w:w="1560" w:type="dxa"/>
          </w:tcPr>
          <w:p w:rsidR="008B4ED4" w:rsidRPr="00724C18" w:rsidRDefault="00F65603" w:rsidP="000C24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1.980.000,00</w:t>
            </w:r>
          </w:p>
        </w:tc>
        <w:tc>
          <w:tcPr>
            <w:tcW w:w="1701" w:type="dxa"/>
          </w:tcPr>
          <w:p w:rsidR="008B4ED4" w:rsidRPr="00724C18" w:rsidRDefault="00F65603" w:rsidP="000C24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2.009.700,00</w:t>
            </w:r>
          </w:p>
        </w:tc>
        <w:tc>
          <w:tcPr>
            <w:tcW w:w="1559" w:type="dxa"/>
          </w:tcPr>
          <w:p w:rsidR="008B4ED4" w:rsidRPr="00724C18" w:rsidRDefault="00F65603" w:rsidP="000C24F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2.039.845,49</w:t>
            </w:r>
          </w:p>
        </w:tc>
        <w:tc>
          <w:tcPr>
            <w:tcW w:w="1925" w:type="dxa"/>
          </w:tcPr>
          <w:p w:rsidR="008B4ED4" w:rsidRPr="00724C18" w:rsidRDefault="0032567C" w:rsidP="008B4ED4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113,5</w:t>
            </w:r>
          </w:p>
        </w:tc>
      </w:tr>
      <w:bookmarkEnd w:id="4"/>
    </w:tbl>
    <w:p w:rsidR="00C517A1" w:rsidRPr="00724C18" w:rsidRDefault="00C517A1" w:rsidP="00F20F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517A1" w:rsidRPr="00724C18" w:rsidRDefault="00C517A1" w:rsidP="00F20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7DD" w:rsidRDefault="00D407DD" w:rsidP="00F20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7DD" w:rsidRDefault="00D407DD" w:rsidP="00F20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7DD" w:rsidRDefault="00D407DD" w:rsidP="00F20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07DD" w:rsidRDefault="00D407DD" w:rsidP="00F20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17A1" w:rsidRPr="00724C18" w:rsidRDefault="008B4ED4" w:rsidP="00F20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Opis </w:t>
      </w:r>
      <w:r w:rsidR="00C517A1" w:rsidRPr="00724C18">
        <w:rPr>
          <w:rFonts w:ascii="Times New Roman" w:hAnsi="Times New Roman" w:cs="Times New Roman"/>
          <w:b/>
          <w:sz w:val="24"/>
          <w:szCs w:val="24"/>
        </w:rPr>
        <w:t>aktivnosti</w:t>
      </w:r>
    </w:p>
    <w:p w:rsidR="00C517A1" w:rsidRPr="00724C18" w:rsidRDefault="00C517A1" w:rsidP="00F20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ED4" w:rsidRPr="00724C18" w:rsidRDefault="008B4ED4" w:rsidP="00F20F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Administracija i upravljanje služi za podmirenje plaća i ostalih troškova zaposlenih .Index 1</w:t>
      </w:r>
      <w:r w:rsidR="00D407DD">
        <w:rPr>
          <w:rFonts w:ascii="Times New Roman" w:eastAsia="Times New Roman" w:hAnsi="Times New Roman" w:cs="Times New Roman"/>
          <w:sz w:val="24"/>
          <w:szCs w:val="24"/>
          <w:lang w:eastAsia="hr-HR"/>
        </w:rPr>
        <w:t>13,5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rezulta</w:t>
      </w:r>
      <w:r w:rsidR="000C24FB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 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povećanja </w:t>
      </w:r>
      <w:r w:rsidR="00D55D48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mogućeg porasta osnovice plaće i ostalih procjena potreba Škole, te većeg broja zaposlenika koji dogodine ostvaruju materijalna prava.</w:t>
      </w:r>
    </w:p>
    <w:p w:rsidR="008B4ED4" w:rsidRPr="00724C18" w:rsidRDefault="008B4ED4" w:rsidP="008B4ED4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8B4ED4" w:rsidRPr="00724C18" w:rsidRDefault="00BE129D" w:rsidP="00934E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C18">
        <w:rPr>
          <w:rFonts w:ascii="Times New Roman" w:hAnsi="Times New Roman" w:cs="Times New Roman"/>
          <w:b/>
          <w:sz w:val="24"/>
          <w:szCs w:val="24"/>
        </w:rPr>
        <w:t>PROGRAM 220</w:t>
      </w:r>
      <w:r w:rsidR="00C517A1" w:rsidRPr="00724C18">
        <w:rPr>
          <w:rFonts w:ascii="Times New Roman" w:hAnsi="Times New Roman" w:cs="Times New Roman"/>
          <w:b/>
          <w:sz w:val="24"/>
          <w:szCs w:val="24"/>
        </w:rPr>
        <w:t>5</w:t>
      </w:r>
      <w:r w:rsidRPr="00724C18">
        <w:rPr>
          <w:rFonts w:ascii="Times New Roman" w:hAnsi="Times New Roman" w:cs="Times New Roman"/>
          <w:b/>
          <w:sz w:val="24"/>
          <w:szCs w:val="24"/>
        </w:rPr>
        <w:t xml:space="preserve">-SREDNJE ŠKOLSTVO </w:t>
      </w:r>
      <w:r w:rsidR="006007AC">
        <w:rPr>
          <w:rFonts w:ascii="Times New Roman" w:hAnsi="Times New Roman" w:cs="Times New Roman"/>
          <w:b/>
          <w:sz w:val="24"/>
          <w:szCs w:val="24"/>
        </w:rPr>
        <w:t xml:space="preserve">IZNAD </w:t>
      </w:r>
      <w:r w:rsidRPr="00724C18">
        <w:rPr>
          <w:rFonts w:ascii="Times New Roman" w:hAnsi="Times New Roman" w:cs="Times New Roman"/>
          <w:b/>
          <w:sz w:val="24"/>
          <w:szCs w:val="24"/>
        </w:rPr>
        <w:t>STANDARD</w:t>
      </w:r>
      <w:r w:rsidR="006007AC">
        <w:rPr>
          <w:rFonts w:ascii="Times New Roman" w:hAnsi="Times New Roman" w:cs="Times New Roman"/>
          <w:b/>
          <w:sz w:val="24"/>
          <w:szCs w:val="24"/>
        </w:rPr>
        <w:t>A</w:t>
      </w:r>
    </w:p>
    <w:p w:rsidR="00BE129D" w:rsidRPr="00724C18" w:rsidRDefault="00BE129D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129D" w:rsidRPr="00724C18" w:rsidRDefault="00BE129D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„2205- Srednje školstvo-iznad standarda“ namijenjen je za podizanje kvalitete i standarda u školstvu. Kroz navedeni program nastoji se podići nastavni standard na višu razinu, uključiti učenike u što više aktivnosti, motivirati i povećati sposobnosti učenika njihovim sudjelovanjem i radom.</w:t>
      </w:r>
    </w:p>
    <w:p w:rsidR="00DA6E99" w:rsidRPr="00724C18" w:rsidRDefault="00DA6E99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129D" w:rsidRPr="00724C18" w:rsidRDefault="00BE129D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2205-12 -Podizanje kvalitete i standarda u školstvu</w:t>
      </w:r>
    </w:p>
    <w:p w:rsidR="00BE129D" w:rsidRPr="00724C18" w:rsidRDefault="00BE129D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2"/>
        <w:gridCol w:w="1539"/>
        <w:gridCol w:w="1539"/>
        <w:gridCol w:w="1539"/>
        <w:gridCol w:w="1539"/>
        <w:gridCol w:w="1877"/>
      </w:tblGrid>
      <w:tr w:rsidR="00BE129D" w:rsidRPr="00724C18" w:rsidTr="00E44FED">
        <w:trPr>
          <w:trHeight w:val="737"/>
          <w:jc w:val="center"/>
        </w:trPr>
        <w:tc>
          <w:tcPr>
            <w:tcW w:w="1542" w:type="dxa"/>
            <w:shd w:val="clear" w:color="auto" w:fill="D9D9D9"/>
          </w:tcPr>
          <w:p w:rsidR="00BE129D" w:rsidRPr="00724C18" w:rsidRDefault="00BE129D" w:rsidP="00E44FED">
            <w:pPr>
              <w:jc w:val="both"/>
              <w:rPr>
                <w:rFonts w:ascii="Times New Roman" w:hAnsi="Times New Roman" w:cs="Times New Roman"/>
              </w:rPr>
            </w:pPr>
            <w:bookmarkStart w:id="5" w:name="_Hlk181171116"/>
          </w:p>
        </w:tc>
        <w:tc>
          <w:tcPr>
            <w:tcW w:w="1539" w:type="dxa"/>
            <w:shd w:val="clear" w:color="auto" w:fill="D9D9D9"/>
          </w:tcPr>
          <w:p w:rsidR="00BE129D" w:rsidRPr="00724C18" w:rsidRDefault="00BE129D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Plan 202</w:t>
            </w:r>
            <w:r w:rsidR="003D3D8D">
              <w:rPr>
                <w:rFonts w:ascii="Times New Roman" w:hAnsi="Times New Roman" w:cs="Times New Roman"/>
              </w:rPr>
              <w:t>5</w:t>
            </w:r>
            <w:r w:rsidRPr="00724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BE129D" w:rsidRPr="00724C18" w:rsidRDefault="00BE129D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Plan 202</w:t>
            </w:r>
            <w:r w:rsidR="003D3D8D">
              <w:rPr>
                <w:rFonts w:ascii="Times New Roman" w:hAnsi="Times New Roman" w:cs="Times New Roman"/>
              </w:rPr>
              <w:t>6</w:t>
            </w:r>
            <w:r w:rsidRPr="00724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BE129D" w:rsidRPr="00724C18" w:rsidRDefault="00BE129D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Procjena 202</w:t>
            </w:r>
            <w:r w:rsidR="003D3D8D">
              <w:rPr>
                <w:rFonts w:ascii="Times New Roman" w:hAnsi="Times New Roman" w:cs="Times New Roman"/>
              </w:rPr>
              <w:t>7</w:t>
            </w:r>
            <w:r w:rsidRPr="00724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9" w:type="dxa"/>
            <w:shd w:val="clear" w:color="auto" w:fill="D9D9D9"/>
          </w:tcPr>
          <w:p w:rsidR="00BE129D" w:rsidRPr="00724C18" w:rsidRDefault="00BE129D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Procjena 202</w:t>
            </w:r>
            <w:r w:rsidR="003D3D8D">
              <w:rPr>
                <w:rFonts w:ascii="Times New Roman" w:hAnsi="Times New Roman" w:cs="Times New Roman"/>
              </w:rPr>
              <w:t>8</w:t>
            </w:r>
            <w:r w:rsidRPr="00724C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shd w:val="clear" w:color="auto" w:fill="D9D9D9"/>
          </w:tcPr>
          <w:p w:rsidR="00BE129D" w:rsidRPr="00724C18" w:rsidRDefault="00BE129D" w:rsidP="00E44FED">
            <w:pPr>
              <w:jc w:val="both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Indeks 202</w:t>
            </w:r>
            <w:r w:rsidR="003D3D8D">
              <w:rPr>
                <w:rFonts w:ascii="Times New Roman" w:hAnsi="Times New Roman" w:cs="Times New Roman"/>
              </w:rPr>
              <w:t>6</w:t>
            </w:r>
            <w:r w:rsidRPr="00724C18">
              <w:rPr>
                <w:rFonts w:ascii="Times New Roman" w:hAnsi="Times New Roman" w:cs="Times New Roman"/>
              </w:rPr>
              <w:t>/202</w:t>
            </w:r>
            <w:r w:rsidR="003D3D8D">
              <w:rPr>
                <w:rFonts w:ascii="Times New Roman" w:hAnsi="Times New Roman" w:cs="Times New Roman"/>
              </w:rPr>
              <w:t>5</w:t>
            </w:r>
          </w:p>
        </w:tc>
      </w:tr>
      <w:tr w:rsidR="00BE129D" w:rsidRPr="00724C18" w:rsidTr="00E44FED">
        <w:trPr>
          <w:trHeight w:val="737"/>
          <w:jc w:val="center"/>
        </w:trPr>
        <w:tc>
          <w:tcPr>
            <w:tcW w:w="1542" w:type="dxa"/>
          </w:tcPr>
          <w:p w:rsidR="00BE129D" w:rsidRPr="00724C18" w:rsidRDefault="00BE129D" w:rsidP="00E44FED">
            <w:pPr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A 2205-12</w:t>
            </w:r>
          </w:p>
        </w:tc>
        <w:tc>
          <w:tcPr>
            <w:tcW w:w="1539" w:type="dxa"/>
          </w:tcPr>
          <w:p w:rsidR="00BE129D" w:rsidRPr="00724C18" w:rsidRDefault="003D3D8D" w:rsidP="00E4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41.398,50</w:t>
            </w:r>
          </w:p>
        </w:tc>
        <w:tc>
          <w:tcPr>
            <w:tcW w:w="1539" w:type="dxa"/>
          </w:tcPr>
          <w:p w:rsidR="00BE129D" w:rsidRPr="00724C18" w:rsidRDefault="003D3D8D" w:rsidP="00E4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60.650,00</w:t>
            </w:r>
          </w:p>
        </w:tc>
        <w:tc>
          <w:tcPr>
            <w:tcW w:w="1539" w:type="dxa"/>
          </w:tcPr>
          <w:p w:rsidR="00BE129D" w:rsidRPr="00724C18" w:rsidRDefault="003D3D8D" w:rsidP="00E4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61.559,75</w:t>
            </w:r>
          </w:p>
        </w:tc>
        <w:tc>
          <w:tcPr>
            <w:tcW w:w="1539" w:type="dxa"/>
          </w:tcPr>
          <w:p w:rsidR="00BE129D" w:rsidRPr="00724C18" w:rsidRDefault="003D3D8D" w:rsidP="00E4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62.483,20</w:t>
            </w:r>
          </w:p>
        </w:tc>
        <w:tc>
          <w:tcPr>
            <w:tcW w:w="1877" w:type="dxa"/>
          </w:tcPr>
          <w:p w:rsidR="00BE129D" w:rsidRPr="00724C18" w:rsidRDefault="001B62E7" w:rsidP="00E44F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</w:tr>
      <w:bookmarkEnd w:id="5"/>
    </w:tbl>
    <w:p w:rsidR="00BE78CD" w:rsidRDefault="00BE78CD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E78CD" w:rsidRDefault="00BE78CD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E129D" w:rsidRPr="00724C18" w:rsidRDefault="00BE129D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aktivnosti</w:t>
      </w:r>
    </w:p>
    <w:p w:rsidR="00BE129D" w:rsidRPr="00724C18" w:rsidRDefault="00BE129D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81A6D" w:rsidRDefault="00BE129D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Kroz aktivnost 2205-12 –„Podizanje kvalitete i standarda u školstvu“ Škola ostvaruje prihode davanjem u najam školsku dvoranu Glazbenoj školi </w:t>
      </w:r>
      <w:proofErr w:type="spellStart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Blagoj</w:t>
      </w:r>
      <w:r w:rsidR="0022026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proofErr w:type="spellEnd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Berse. U naj</w:t>
      </w:r>
      <w:r w:rsidR="00062BB4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am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daje i prostor za aparate za kavu i ostale tople napitke. Također škola ima vlastite prihode od najma i prostora Tvornici kruha Zadar</w:t>
      </w:r>
      <w:r w:rsidR="00062BB4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 Vlastiti prihodi čine prihodi od iznajmljivanja prostora . Škola s tim prihodima pokriva rashode kao što su maturalne večeri, izlete za zaposlenike i za potrebno redovno poslovanje škole u trenutnoj situaciji kada su nam ostali izvori prihoda nedovoljni. Pod navedenom aktivnosti spadaju i prihodi koje škola dobije od Ministarstva znanosti i obrazovanja, poput :prihoda za knjige, prihoda za ocjenjivanje ispita na maturi i sl.</w:t>
      </w:r>
      <w:r w:rsidR="00F6287E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81A6D" w:rsidRDefault="00581A6D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Ovdje je uvršten i Projekt Potencijali zajednice.</w:t>
      </w:r>
    </w:p>
    <w:p w:rsidR="00BE129D" w:rsidRDefault="00F6287E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Škola je planirala rashode za 202</w:t>
      </w:r>
      <w:r w:rsidR="00BE78C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.godinu </w:t>
      </w:r>
      <w:r w:rsidR="00BE78CD">
        <w:rPr>
          <w:rFonts w:ascii="Times New Roman" w:eastAsia="Times New Roman" w:hAnsi="Times New Roman" w:cs="Times New Roman"/>
          <w:sz w:val="24"/>
          <w:szCs w:val="24"/>
          <w:lang w:eastAsia="hr-HR"/>
        </w:rPr>
        <w:t>više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202</w:t>
      </w:r>
      <w:r w:rsidR="00BE78C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 (indeks</w:t>
      </w:r>
      <w:r w:rsidR="00BE78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146,50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)</w:t>
      </w:r>
      <w:r w:rsidR="002A01EB">
        <w:rPr>
          <w:rFonts w:ascii="Times New Roman" w:eastAsia="Times New Roman" w:hAnsi="Times New Roman" w:cs="Times New Roman"/>
          <w:sz w:val="24"/>
          <w:szCs w:val="24"/>
          <w:lang w:eastAsia="hr-HR"/>
        </w:rPr>
        <w:t>, zbog planiranja selidbe u novu školu i ostvarivanja prihoda od iznajmljivanja prostora.</w:t>
      </w:r>
    </w:p>
    <w:p w:rsidR="002A01EB" w:rsidRPr="00724C18" w:rsidRDefault="002A01EB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287E" w:rsidRPr="00724C18" w:rsidRDefault="00F6287E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F79D9" w:rsidRDefault="00EF79D9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22D6F" w:rsidRDefault="00822D6F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6287E" w:rsidRPr="00724C18" w:rsidRDefault="00F6287E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PROGRAM 4302- PROJEKTI EU</w:t>
      </w:r>
    </w:p>
    <w:p w:rsidR="00F6287E" w:rsidRPr="00724C18" w:rsidRDefault="00F6287E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E6161" w:rsidRPr="00724C18" w:rsidRDefault="00F6287E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programa</w:t>
      </w:r>
    </w:p>
    <w:p w:rsidR="00F6287E" w:rsidRPr="00724C18" w:rsidRDefault="00F6287E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6287E" w:rsidRPr="00724C18" w:rsidRDefault="00F6287E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Unutar programa „4302 Projekti EU u 202</w:t>
      </w:r>
      <w:r w:rsidR="00822D6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planirana su sredstva u iznosu od </w:t>
      </w:r>
      <w:r w:rsidR="00453985">
        <w:rPr>
          <w:rFonts w:ascii="Times New Roman" w:eastAsia="Times New Roman" w:hAnsi="Times New Roman" w:cs="Times New Roman"/>
          <w:sz w:val="24"/>
          <w:szCs w:val="24"/>
          <w:lang w:eastAsia="hr-HR"/>
        </w:rPr>
        <w:t>382.431</w:t>
      </w:r>
      <w:r w:rsidR="003F3D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EUR. Program se sastoji od projekta „K4302-80 Projekt Uspostava Regionalnog centra kompetentnosti (RCK) i </w:t>
      </w:r>
      <w:r w:rsidR="00116DAA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rojekt</w:t>
      </w:r>
      <w:r w:rsidR="009E031A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4302-99 Projekt Medicinska + SS Medicinska</w:t>
      </w:r>
      <w:r w:rsidR="006F1F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Tekućeg projekta T4306-23 </w:t>
      </w:r>
      <w:proofErr w:type="spellStart"/>
      <w:r w:rsidR="006F1F70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 w:rsidR="006F1F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+ 2025-1-KA121-000340778.</w:t>
      </w:r>
    </w:p>
    <w:p w:rsidR="00B01AB8" w:rsidRPr="00724C18" w:rsidRDefault="00B01AB8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1AB8" w:rsidRPr="00724C18" w:rsidRDefault="00B01AB8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6" w:name="_Hlk181173157"/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 </w:t>
      </w:r>
      <w:r w:rsidR="00611AFC"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projekta </w:t>
      </w:r>
    </w:p>
    <w:bookmarkEnd w:id="6"/>
    <w:p w:rsidR="00026CB6" w:rsidRPr="00724C18" w:rsidRDefault="00026CB6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031A" w:rsidRPr="00724C18" w:rsidRDefault="00026CB6" w:rsidP="00934E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K4302-80 Projekt Uspostava Regionalnog centra kompetentnosti (RCK)</w:t>
      </w: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701"/>
        <w:gridCol w:w="1559"/>
        <w:gridCol w:w="1925"/>
      </w:tblGrid>
      <w:tr w:rsidR="00FE6161" w:rsidRPr="00724C18" w:rsidTr="00E44FED">
        <w:trPr>
          <w:trHeight w:val="1135"/>
          <w:jc w:val="center"/>
        </w:trPr>
        <w:tc>
          <w:tcPr>
            <w:tcW w:w="1271" w:type="dxa"/>
            <w:shd w:val="clear" w:color="auto" w:fill="D9D9D9"/>
          </w:tcPr>
          <w:p w:rsidR="00FE6161" w:rsidRPr="00724C18" w:rsidRDefault="00FE6161" w:rsidP="00E44FED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7" w:name="_Hlk181173034"/>
          </w:p>
        </w:tc>
        <w:tc>
          <w:tcPr>
            <w:tcW w:w="1559" w:type="dxa"/>
            <w:shd w:val="clear" w:color="auto" w:fill="D9D9D9"/>
          </w:tcPr>
          <w:p w:rsidR="00FE6161" w:rsidRPr="00724C18" w:rsidRDefault="00FE6161" w:rsidP="00E44FED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202</w:t>
            </w:r>
            <w:r w:rsidR="003F3D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D9D9D9"/>
          </w:tcPr>
          <w:p w:rsidR="00FE6161" w:rsidRPr="00724C18" w:rsidRDefault="00FE6161" w:rsidP="00E44FED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202</w:t>
            </w:r>
            <w:r w:rsidR="003F3D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shd w:val="clear" w:color="auto" w:fill="D9D9D9"/>
          </w:tcPr>
          <w:p w:rsidR="00FE6161" w:rsidRPr="00724C18" w:rsidRDefault="00FE6161" w:rsidP="00E44FED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202</w:t>
            </w:r>
            <w:r w:rsidR="003F3D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:rsidR="00FE6161" w:rsidRPr="00724C18" w:rsidRDefault="00FE6161" w:rsidP="00E44FED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Procjena 202</w:t>
            </w:r>
            <w:r w:rsidR="003F3D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25" w:type="dxa"/>
            <w:shd w:val="clear" w:color="auto" w:fill="D9D9D9"/>
          </w:tcPr>
          <w:p w:rsidR="00FE6161" w:rsidRPr="00724C18" w:rsidRDefault="00FE6161" w:rsidP="00E44FED">
            <w:pPr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Indeks 202</w:t>
            </w:r>
            <w:r w:rsidR="003F3D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24C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/202</w:t>
            </w:r>
            <w:r w:rsidR="003F3D2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  <w:tr w:rsidR="00FE6161" w:rsidRPr="00724C18" w:rsidTr="00E44FED">
        <w:trPr>
          <w:trHeight w:val="737"/>
          <w:jc w:val="center"/>
        </w:trPr>
        <w:tc>
          <w:tcPr>
            <w:tcW w:w="1271" w:type="dxa"/>
          </w:tcPr>
          <w:p w:rsidR="00FE6161" w:rsidRPr="00724C18" w:rsidRDefault="00782DA6" w:rsidP="00E44FE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lang w:eastAsia="hr-HR"/>
              </w:rPr>
              <w:t>K4302-80</w:t>
            </w:r>
          </w:p>
        </w:tc>
        <w:tc>
          <w:tcPr>
            <w:tcW w:w="1559" w:type="dxa"/>
          </w:tcPr>
          <w:p w:rsidR="00FE6161" w:rsidRPr="00724C18" w:rsidRDefault="002F6FAA" w:rsidP="00D03CA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6.609.527,73</w:t>
            </w:r>
          </w:p>
        </w:tc>
        <w:tc>
          <w:tcPr>
            <w:tcW w:w="1560" w:type="dxa"/>
          </w:tcPr>
          <w:p w:rsidR="00D03CAB" w:rsidRPr="00724C18" w:rsidRDefault="002F6FAA" w:rsidP="00D03CAB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280.600,00</w:t>
            </w:r>
          </w:p>
          <w:p w:rsidR="00FE6161" w:rsidRPr="00724C18" w:rsidRDefault="00FE6161" w:rsidP="00D03CA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01" w:type="dxa"/>
          </w:tcPr>
          <w:p w:rsidR="00FE6161" w:rsidRPr="00724C18" w:rsidRDefault="002F6FAA" w:rsidP="00E44FE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59" w:type="dxa"/>
          </w:tcPr>
          <w:p w:rsidR="00FE6161" w:rsidRPr="00724C18" w:rsidRDefault="00D03CAB" w:rsidP="00E44FE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925" w:type="dxa"/>
          </w:tcPr>
          <w:p w:rsidR="00FE6161" w:rsidRPr="00724C18" w:rsidRDefault="00347CAC" w:rsidP="00E44FED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0,004</w:t>
            </w:r>
          </w:p>
        </w:tc>
      </w:tr>
      <w:bookmarkEnd w:id="7"/>
    </w:tbl>
    <w:p w:rsidR="00611AFC" w:rsidRPr="00724C18" w:rsidRDefault="00611AFC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E031A" w:rsidRPr="00724C18" w:rsidRDefault="009E031A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 T4302-80 Projekt Uspostava Regionalnog centra kompetentnosti (RCK)</w:t>
      </w:r>
    </w:p>
    <w:p w:rsidR="003C7B1D" w:rsidRPr="00724C18" w:rsidRDefault="003C7B1D" w:rsidP="003C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"Unaprjeđenje infrastrukture Medicinske škole Ante </w:t>
      </w:r>
      <w:proofErr w:type="spellStart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Kuzmanića</w:t>
      </w:r>
      <w:proofErr w:type="spellEnd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 u sektoru zdravstva je započeo s provedbom 1.7.2019. godine. (KK.09.1.3.01.0017).</w:t>
      </w:r>
    </w:p>
    <w:p w:rsidR="003C7B1D" w:rsidRPr="00724C18" w:rsidRDefault="003C7B1D" w:rsidP="003C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Škola projekt provodi u partnerstvu sa svojim osnivačem Zadarskom županijom i Medicinskom školom u Rijeci te sa suradnicima - Hrvatska obrtnička komora - Obrtnička komora Zadarske županije; Hrvatski zavod za zapošljavanje - Područni ured Zadar; Srednja škola Biograd na Moru; Hrvatska gospodarska komora i </w:t>
      </w:r>
      <w:proofErr w:type="spellStart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Fizio</w:t>
      </w:r>
      <w:proofErr w:type="spellEnd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Vita d.o.o. </w:t>
      </w:r>
    </w:p>
    <w:p w:rsidR="003C7B1D" w:rsidRPr="00724C18" w:rsidRDefault="003C7B1D" w:rsidP="003C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Agencija za razvoj Zadarske županije ZADRA NOVA je kako regionalni koordinator  u suradnji s prijaviteljem i partnerima pripremila i prijavila projekt te sudjeluje u provedbi istog. Projektom su osigurana sredstva za adaptaciju i dogradnju Medicinske škole Zadar na novoj lokaciji, zgradi nekadašnjeg Srednjoškolskog đačkog doma u koju bi se u cijelosti izmjestila Medicinska škola.</w:t>
      </w:r>
    </w:p>
    <w:p w:rsidR="00563860" w:rsidRPr="00724C18" w:rsidRDefault="006E36C2" w:rsidP="003C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 za 2026. godinu iznosi 280.600,00 EUR (indeks 0,004), što je veliko smanjenje u odnosu na prošlu godinu jer je škola na završetku radova.</w:t>
      </w:r>
    </w:p>
    <w:p w:rsidR="00B01AB8" w:rsidRPr="00724C18" w:rsidRDefault="00B01AB8" w:rsidP="003C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1AB8" w:rsidRPr="00724C18" w:rsidRDefault="00B01AB8" w:rsidP="003C7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 </w:t>
      </w:r>
      <w:r w:rsidR="00611AFC"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projekta</w:t>
      </w:r>
    </w:p>
    <w:p w:rsidR="00611AFC" w:rsidRPr="00724C18" w:rsidRDefault="00611AFC" w:rsidP="003C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Projekt Medicinska +,Unaprjeđenje rada Medicinske Škole Ante </w:t>
      </w:r>
      <w:proofErr w:type="spellStart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Kuzmanića</w:t>
      </w:r>
      <w:proofErr w:type="spellEnd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Zadar regionalnog centra kompetentnosti u sektoru zdravstva počeo je 29.12.2019.godine i završio krajem 2023.godine</w:t>
      </w:r>
    </w:p>
    <w:p w:rsidR="006817DB" w:rsidRPr="00724C18" w:rsidRDefault="006817DB" w:rsidP="003C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6CB6" w:rsidRPr="00724C18" w:rsidRDefault="00782DA6" w:rsidP="003C7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8" w:name="_Hlk211854154"/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</w:t>
      </w:r>
      <w:r w:rsidR="006817DB"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4302-</w:t>
      </w: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99</w:t>
      </w:r>
      <w:r w:rsidR="006817DB"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Projekt </w:t>
      </w: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Medicinska +SS Medicinska </w:t>
      </w: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701"/>
        <w:gridCol w:w="1559"/>
        <w:gridCol w:w="1925"/>
      </w:tblGrid>
      <w:tr w:rsidR="00782DA6" w:rsidRPr="00782DA6" w:rsidTr="00B01AB8">
        <w:trPr>
          <w:trHeight w:val="1135"/>
        </w:trPr>
        <w:tc>
          <w:tcPr>
            <w:tcW w:w="1271" w:type="dxa"/>
            <w:shd w:val="clear" w:color="auto" w:fill="D9D9D9"/>
          </w:tcPr>
          <w:p w:rsidR="00782DA6" w:rsidRPr="00782DA6" w:rsidRDefault="00782DA6" w:rsidP="0078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shd w:val="clear" w:color="auto" w:fill="D9D9D9"/>
          </w:tcPr>
          <w:p w:rsidR="00782DA6" w:rsidRPr="00782DA6" w:rsidRDefault="00782DA6" w:rsidP="0078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202</w:t>
            </w:r>
            <w:r w:rsidR="006E3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D9D9D9"/>
          </w:tcPr>
          <w:p w:rsidR="00782DA6" w:rsidRPr="00782DA6" w:rsidRDefault="00782DA6" w:rsidP="0078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202</w:t>
            </w:r>
            <w:r w:rsidR="006E3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shd w:val="clear" w:color="auto" w:fill="D9D9D9"/>
          </w:tcPr>
          <w:p w:rsidR="00782DA6" w:rsidRPr="00782DA6" w:rsidRDefault="00782DA6" w:rsidP="0078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Procjena 202</w:t>
            </w:r>
            <w:r w:rsidR="006E3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:rsidR="00782DA6" w:rsidRPr="00782DA6" w:rsidRDefault="00782DA6" w:rsidP="0078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Procjena 202</w:t>
            </w:r>
            <w:r w:rsidR="006E36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25" w:type="dxa"/>
            <w:shd w:val="clear" w:color="auto" w:fill="D9D9D9"/>
          </w:tcPr>
          <w:p w:rsidR="00782DA6" w:rsidRPr="00782DA6" w:rsidRDefault="00782DA6" w:rsidP="0078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Indeks 2025/2024</w:t>
            </w:r>
          </w:p>
        </w:tc>
      </w:tr>
      <w:tr w:rsidR="00644308" w:rsidRPr="00724C18" w:rsidTr="00B01AB8">
        <w:trPr>
          <w:trHeight w:val="535"/>
        </w:trPr>
        <w:tc>
          <w:tcPr>
            <w:tcW w:w="1271" w:type="dxa"/>
          </w:tcPr>
          <w:p w:rsidR="00644308" w:rsidRPr="00782DA6" w:rsidRDefault="00644308" w:rsidP="00782DA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T-4302-99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308" w:rsidRPr="00724C18" w:rsidRDefault="006E36C2" w:rsidP="00782DA6">
            <w:pPr>
              <w:spacing w:before="240"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308" w:rsidRPr="00724C18" w:rsidRDefault="006E36C2" w:rsidP="00782D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30.300,00</w:t>
            </w:r>
          </w:p>
          <w:p w:rsidR="00B01AB8" w:rsidRPr="00724C18" w:rsidRDefault="00B01AB8" w:rsidP="00782DA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308" w:rsidRPr="00724C18" w:rsidRDefault="00644308" w:rsidP="00782DA6">
            <w:pPr>
              <w:jc w:val="center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308" w:rsidRPr="00724C18" w:rsidRDefault="00644308" w:rsidP="00782DA6">
            <w:pPr>
              <w:jc w:val="center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4308" w:rsidRPr="00724C18" w:rsidRDefault="006E36C2" w:rsidP="00782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97,4</w:t>
            </w:r>
          </w:p>
        </w:tc>
      </w:tr>
    </w:tbl>
    <w:bookmarkEnd w:id="8"/>
    <w:p w:rsidR="00026CB6" w:rsidRDefault="00026CB6" w:rsidP="00026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Prema planu za 202</w:t>
      </w:r>
      <w:r w:rsidR="00A940D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voditelj projekta je zadužen za opremanje nove škole i pripremu i provedbu planiranih programa za obrazovanje odraslih.</w:t>
      </w:r>
      <w:r w:rsidR="00782DA6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 202</w:t>
      </w:r>
      <w:r w:rsidR="00A940D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782DA6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napravljen je s voditeljicom projekta i odnosi se na njenu plaću za 202</w:t>
      </w:r>
      <w:r w:rsidR="00A940D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782DA6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.godini iz izvora 11 (indeks </w:t>
      </w:r>
      <w:r w:rsidR="00A940DA">
        <w:rPr>
          <w:rFonts w:ascii="Times New Roman" w:eastAsia="Times New Roman" w:hAnsi="Times New Roman" w:cs="Times New Roman"/>
          <w:sz w:val="24"/>
          <w:szCs w:val="24"/>
          <w:lang w:eastAsia="hr-HR"/>
        </w:rPr>
        <w:t>97,4</w:t>
      </w:r>
      <w:r w:rsidR="00782DA6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AD0B45" w:rsidRDefault="00AD0B45" w:rsidP="00026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0B45" w:rsidRPr="00724C18" w:rsidRDefault="00AD0B45" w:rsidP="00AD0B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T4302-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</w:t>
      </w:r>
      <w:r w:rsidRPr="00724C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Erasmus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+ 2025-1-KA121-000340778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Med.šk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560"/>
        <w:gridCol w:w="1701"/>
        <w:gridCol w:w="1559"/>
        <w:gridCol w:w="1925"/>
      </w:tblGrid>
      <w:tr w:rsidR="00AD0B45" w:rsidRPr="00782DA6" w:rsidTr="008971C0">
        <w:trPr>
          <w:trHeight w:val="1135"/>
        </w:trPr>
        <w:tc>
          <w:tcPr>
            <w:tcW w:w="1271" w:type="dxa"/>
            <w:shd w:val="clear" w:color="auto" w:fill="D9D9D9"/>
          </w:tcPr>
          <w:p w:rsidR="00AD0B45" w:rsidRPr="00782DA6" w:rsidRDefault="00AD0B45" w:rsidP="00897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shd w:val="clear" w:color="auto" w:fill="D9D9D9"/>
          </w:tcPr>
          <w:p w:rsidR="00AD0B45" w:rsidRPr="00782DA6" w:rsidRDefault="00AD0B45" w:rsidP="00897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D9D9D9"/>
          </w:tcPr>
          <w:p w:rsidR="00AD0B45" w:rsidRPr="00782DA6" w:rsidRDefault="00AD0B45" w:rsidP="00897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shd w:val="clear" w:color="auto" w:fill="D9D9D9"/>
          </w:tcPr>
          <w:p w:rsidR="00AD0B45" w:rsidRPr="00782DA6" w:rsidRDefault="00AD0B45" w:rsidP="00897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Procjena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59" w:type="dxa"/>
            <w:shd w:val="clear" w:color="auto" w:fill="D9D9D9"/>
          </w:tcPr>
          <w:p w:rsidR="00AD0B45" w:rsidRPr="00782DA6" w:rsidRDefault="00AD0B45" w:rsidP="00897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Procjena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25" w:type="dxa"/>
            <w:shd w:val="clear" w:color="auto" w:fill="D9D9D9"/>
          </w:tcPr>
          <w:p w:rsidR="00AD0B45" w:rsidRPr="00782DA6" w:rsidRDefault="00AD0B45" w:rsidP="00897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82D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Indeks 2025/2024</w:t>
            </w:r>
          </w:p>
        </w:tc>
      </w:tr>
      <w:tr w:rsidR="00AD0B45" w:rsidRPr="00724C18" w:rsidTr="008971C0">
        <w:trPr>
          <w:trHeight w:val="535"/>
        </w:trPr>
        <w:tc>
          <w:tcPr>
            <w:tcW w:w="1271" w:type="dxa"/>
          </w:tcPr>
          <w:p w:rsidR="00AD0B45" w:rsidRPr="00782DA6" w:rsidRDefault="00AD0B45" w:rsidP="008971C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24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T-4302-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B45" w:rsidRPr="00724C18" w:rsidRDefault="00AD0B45" w:rsidP="008971C0">
            <w:pPr>
              <w:spacing w:before="24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B45" w:rsidRPr="00724C18" w:rsidRDefault="00AD0B45" w:rsidP="008971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101.831,00</w:t>
            </w:r>
          </w:p>
          <w:p w:rsidR="00AD0B45" w:rsidRPr="00724C18" w:rsidRDefault="00AD0B45" w:rsidP="008971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B45" w:rsidRPr="00724C18" w:rsidRDefault="00AD0B45" w:rsidP="008971C0">
            <w:pPr>
              <w:jc w:val="center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B45" w:rsidRPr="00724C18" w:rsidRDefault="00AD0B45" w:rsidP="008971C0">
            <w:pPr>
              <w:jc w:val="center"/>
              <w:rPr>
                <w:rFonts w:ascii="Times New Roman" w:hAnsi="Times New Roman" w:cs="Times New Roman"/>
              </w:rPr>
            </w:pPr>
            <w:r w:rsidRPr="00724C1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0B45" w:rsidRPr="00724C18" w:rsidRDefault="00AD0B45" w:rsidP="008971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26CB6" w:rsidRDefault="00026CB6" w:rsidP="003C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0B45" w:rsidRPr="00724C18" w:rsidRDefault="00AD0B45" w:rsidP="003C7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2026. se planira realizirati Projekt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+ 2025-1-KA121-000340778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Med.šk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koji traje do 31.08.2026.</w:t>
      </w:r>
    </w:p>
    <w:p w:rsidR="00563860" w:rsidRPr="00724C18" w:rsidRDefault="00563860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C45433" w:rsidRDefault="00563860" w:rsidP="00C45433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4543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ZAKONSKE I DRUGE PRAVNE OSNOVE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Zakon o odgoju i obrazovanju u osnovnoj i srednjoj školi (NN br. 87/08, 86/09., 92/10, 90/11, 16/12,94/13,152/14,68/18,</w:t>
      </w:r>
      <w:r w:rsidR="00EF4B3E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07/17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Zakon o ustanovama ( NN br. 76/93., 29/97., 47/99., 35/08.)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Zakon o proračunu ( NN br. 87/08.), Pravilnik o proračunskim klasifikacijama( NN br. 26/10.) i Pravilnik o proračunskom računovodstvu i računskom planu ( NN br. 124/14, 115/15,57/16,3/18,126/19,108/20.)  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Upute za izradu prijedloga proračuna i financijskih planova upravnih tijela, proračunskih i izvanproračunskih korisnika Zadarske županije za razdoblje 202</w:t>
      </w:r>
      <w:r w:rsidR="00EF4B3E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-202</w:t>
      </w:r>
      <w:r w:rsidR="00EF4B3E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   od 0</w:t>
      </w:r>
      <w:r w:rsidR="008F035D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.10.202</w:t>
      </w:r>
      <w:r w:rsidR="00EF4B3E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Godišnji plan i program rada škole za školsku godinu 202</w:t>
      </w:r>
      <w:r w:rsidR="00EF4B3E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EF4B3E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Kurikulum škole za školsku godinu 202</w:t>
      </w:r>
      <w:r w:rsidR="00E62CDD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./202</w:t>
      </w:r>
      <w:r w:rsidR="00E62CDD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63860" w:rsidRPr="0007706B" w:rsidRDefault="00563860" w:rsidP="0007706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770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USKLAĐENOST CILJEVA, STRATEGIJE I PROGRAMI S DOKUMENTIMA DUGOROČNOG RAZVOJA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Školske ustanove ne donose strateške, već godišnje planove i programe (GPP i školski kurikulum) prema planu i programu koje je donijelo Ministarstvo znanosti, obrazovanja i sporta. Vertikala usklađivanja ciljeva i programa MZO-a i jedinice lokalne (regionalne) samouprave – školske ustanove još nije provedena.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Nastavni planovi se odnose za nastavnu godinu</w:t>
      </w:r>
      <w:r w:rsidR="00EF4B3E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ne za fiskalnu. Uzrok mnogim odstupanjima u izvršenju financijskog plana, odnosno pomak određenih aktivnosti iz jednog u drugo polugodište uzrokuje promjene  izvršenja financijskog plana za 2 godine.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07706B" w:rsidRDefault="00563860" w:rsidP="0007706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770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ISHODIŠTA I POKAZATELJI NA KOJIMA SE ZASNIVAJU IZRAČUNI I OCJENE POTEBNIH SREDSTAVA ZA PROVOĐENJE PROGRAMA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Izvori sredstava za financiranje rad</w:t>
      </w:r>
      <w:r w:rsidR="00EF4B3E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Medicinske Škole 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:rsidR="00EF4B3E" w:rsidRPr="00724C18" w:rsidRDefault="00563860" w:rsidP="00E6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Opći prihodi i primitci </w:t>
      </w:r>
      <w:r w:rsidR="00E62CDD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skupina 671,regionalni proračun (zadarska županija) za materijalne troškove poslovanja te održavanje i obnovu nefinancijske imovine.</w:t>
      </w:r>
    </w:p>
    <w:p w:rsidR="00E62CDD" w:rsidRPr="00724C18" w:rsidRDefault="00E62CDD" w:rsidP="00E6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-Programi iznad standarda ,skupina 671-javne potrebe u školstvu </w:t>
      </w:r>
    </w:p>
    <w:p w:rsidR="00E62CDD" w:rsidRPr="00724C18" w:rsidRDefault="00E62CDD" w:rsidP="00E6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-Vlastiti prihodi od iznajmljivanja prostora ,skupina za provedbu dodatnih aktivnosti Škole prema planu i programu rada, te obnovu i nabavku nefinancijske imovine.</w:t>
      </w:r>
    </w:p>
    <w:p w:rsidR="00E62CDD" w:rsidRPr="00724C18" w:rsidRDefault="00E62CDD" w:rsidP="00E6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-Prihodi za posebne namjene sastoje se od prihoda za sufinanciranja, osiguranja od ozljeda i sl.</w:t>
      </w:r>
    </w:p>
    <w:p w:rsidR="00E62CDD" w:rsidRPr="00724C18" w:rsidRDefault="00E62CDD" w:rsidP="00E6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Donacije-namjenska sredstva za održavanje i poboljšanje učeničkog standarda </w:t>
      </w:r>
    </w:p>
    <w:p w:rsidR="00E62CDD" w:rsidRPr="00724C18" w:rsidRDefault="00E62CDD" w:rsidP="00E6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 skupina 636, državni proračun za financiranje rada zaposlenih djelatnika uključuju i sredstva EU-RCK projekt.</w:t>
      </w:r>
    </w:p>
    <w:p w:rsidR="00E62CDD" w:rsidRPr="00724C18" w:rsidRDefault="00E62CDD" w:rsidP="00E6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-Vlastiti prihodi od nefinancijske imovine </w:t>
      </w:r>
    </w:p>
    <w:p w:rsidR="00E62CDD" w:rsidRPr="00724C18" w:rsidRDefault="00E62CDD" w:rsidP="00E62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Indeksi rasta koje smo dužni primijeniti planiranju rashoda koji se planiraju prema minimalnom standardu (Upute za izradu pr</w:t>
      </w:r>
      <w:r w:rsidR="00611AFC"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računa (2025/26/27)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63860" w:rsidRPr="0007706B" w:rsidRDefault="00EF4B3E" w:rsidP="0007706B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770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POKAZATELJI USPJEŠNOSTI </w:t>
      </w:r>
    </w:p>
    <w:p w:rsidR="00563860" w:rsidRPr="00724C18" w:rsidRDefault="00B01AB8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D22611" w:rsidRDefault="00D22611" w:rsidP="00D22611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D22611" w:rsidRDefault="00D22611" w:rsidP="00D22611">
      <w:pPr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školskoj godini 2025./2026. upisano je 388 učenika u 19 odjeljenja. </w:t>
      </w:r>
    </w:p>
    <w:p w:rsidR="00D22611" w:rsidRDefault="00D22611" w:rsidP="00D22611">
      <w:pPr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Škola je obrazovala programe za zanimanja Medicinska sestra opće njege/medicinski tehničar opće njege, Dentalni tehničar/ka, Farmaceutski tehničar/ka. Na kraju školske godine 2024/2025. 371 učenika završilo je s pozitivnim uspjehom, a 20 učenika su imala negativan uspjeh. 115 učenika (29%) prošlo je odličnim uspjehom, 191 s vrlo dobrim uspjehom (49%) i 66 učenika (17%) je prošlo dobrim uspjehom .</w:t>
      </w:r>
    </w:p>
    <w:p w:rsidR="00D22611" w:rsidRDefault="00D22611" w:rsidP="00D22611">
      <w:pPr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Učenici su tijekom školske godine 2024./2025. sudjelovali i ostvarili zapažene rezultate na sljedećim natjecanjima: latinski jezik (4.mjesto na državnoj razini), fizika (5.mjesto na županijskoj razini), geografija (4.mjesto na županijskoj razini), međužupanijska smotra GLOBE 3. mjesto, natjecanje iz prve pomoći 2.mjesto na školskoj razini,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Worldskills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7.mjesto na međunarodnoj razini, </w:t>
      </w:r>
      <w:proofErr w:type="spellStart"/>
      <w:r>
        <w:rPr>
          <w:rFonts w:ascii="Times New Roman" w:hAnsi="Times New Roman" w:cs="Times New Roman"/>
          <w:sz w:val="24"/>
          <w:szCs w:val="24"/>
          <w:lang w:eastAsia="hr-HR"/>
        </w:rPr>
        <w:t>Lidrano</w:t>
      </w:r>
      <w:proofErr w:type="spellEnd"/>
      <w:r>
        <w:rPr>
          <w:rFonts w:ascii="Times New Roman" w:hAnsi="Times New Roman" w:cs="Times New Roman"/>
          <w:sz w:val="24"/>
          <w:szCs w:val="24"/>
          <w:lang w:eastAsia="hr-HR"/>
        </w:rPr>
        <w:t xml:space="preserve"> državna razina, Hrvatski jezik (1.mjesto na županijskoj razini) te Mreža čitanja i Čitanjem do zvijezda učenici su se plasirali na državnu razinu.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611AFC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Ravnateljica:</w:t>
      </w:r>
    </w:p>
    <w:p w:rsidR="00611AFC" w:rsidRPr="00724C18" w:rsidRDefault="00611AFC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Anita </w:t>
      </w:r>
      <w:proofErr w:type="spellStart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Basioli,prof</w:t>
      </w:r>
      <w:proofErr w:type="spellEnd"/>
      <w:r w:rsidRPr="00724C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563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63860" w:rsidRPr="00724C18" w:rsidRDefault="00563860" w:rsidP="00934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563860" w:rsidRPr="00724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D83" w:rsidRDefault="00597D83" w:rsidP="00066E69">
      <w:pPr>
        <w:spacing w:after="0" w:line="240" w:lineRule="auto"/>
      </w:pPr>
      <w:r>
        <w:separator/>
      </w:r>
    </w:p>
  </w:endnote>
  <w:endnote w:type="continuationSeparator" w:id="0">
    <w:p w:rsidR="00597D83" w:rsidRDefault="00597D83" w:rsidP="0006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D83" w:rsidRDefault="00597D83" w:rsidP="00066E69">
      <w:pPr>
        <w:spacing w:after="0" w:line="240" w:lineRule="auto"/>
      </w:pPr>
      <w:r>
        <w:separator/>
      </w:r>
    </w:p>
  </w:footnote>
  <w:footnote w:type="continuationSeparator" w:id="0">
    <w:p w:rsidR="00597D83" w:rsidRDefault="00597D83" w:rsidP="00066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87C24"/>
    <w:multiLevelType w:val="hybridMultilevel"/>
    <w:tmpl w:val="A2620A78"/>
    <w:lvl w:ilvl="0" w:tplc="842620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B4A4B"/>
    <w:multiLevelType w:val="hybridMultilevel"/>
    <w:tmpl w:val="79B0C132"/>
    <w:lvl w:ilvl="0" w:tplc="9F38B55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77194120"/>
    <w:multiLevelType w:val="hybridMultilevel"/>
    <w:tmpl w:val="74928E58"/>
    <w:lvl w:ilvl="0" w:tplc="041A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92"/>
    <w:rsid w:val="00026CB6"/>
    <w:rsid w:val="000447A7"/>
    <w:rsid w:val="000477D2"/>
    <w:rsid w:val="00052EA8"/>
    <w:rsid w:val="0005768D"/>
    <w:rsid w:val="00062BB4"/>
    <w:rsid w:val="00066E69"/>
    <w:rsid w:val="000714B1"/>
    <w:rsid w:val="0007706B"/>
    <w:rsid w:val="00090055"/>
    <w:rsid w:val="000A1442"/>
    <w:rsid w:val="000B62C4"/>
    <w:rsid w:val="000B6FA6"/>
    <w:rsid w:val="000C24FB"/>
    <w:rsid w:val="000D6203"/>
    <w:rsid w:val="0010097E"/>
    <w:rsid w:val="00116DAA"/>
    <w:rsid w:val="001842FD"/>
    <w:rsid w:val="001B62E7"/>
    <w:rsid w:val="001F7C9B"/>
    <w:rsid w:val="00220265"/>
    <w:rsid w:val="00231610"/>
    <w:rsid w:val="002669FA"/>
    <w:rsid w:val="00284A7D"/>
    <w:rsid w:val="002A01EB"/>
    <w:rsid w:val="002A6E93"/>
    <w:rsid w:val="002B3144"/>
    <w:rsid w:val="002B5583"/>
    <w:rsid w:val="002C77E6"/>
    <w:rsid w:val="002F6FAA"/>
    <w:rsid w:val="0032567C"/>
    <w:rsid w:val="00347CAC"/>
    <w:rsid w:val="00380935"/>
    <w:rsid w:val="003B21FF"/>
    <w:rsid w:val="003C593E"/>
    <w:rsid w:val="003C7B1D"/>
    <w:rsid w:val="003D3D8D"/>
    <w:rsid w:val="003E087B"/>
    <w:rsid w:val="003E4C56"/>
    <w:rsid w:val="003F3D24"/>
    <w:rsid w:val="003F6DF6"/>
    <w:rsid w:val="00440D31"/>
    <w:rsid w:val="00453985"/>
    <w:rsid w:val="00461EB2"/>
    <w:rsid w:val="004B1063"/>
    <w:rsid w:val="004D70D9"/>
    <w:rsid w:val="004E14C2"/>
    <w:rsid w:val="004E67E9"/>
    <w:rsid w:val="00525E65"/>
    <w:rsid w:val="00546853"/>
    <w:rsid w:val="00563860"/>
    <w:rsid w:val="00581A6D"/>
    <w:rsid w:val="00597D83"/>
    <w:rsid w:val="005D09C8"/>
    <w:rsid w:val="006007AC"/>
    <w:rsid w:val="00611AFC"/>
    <w:rsid w:val="006214C8"/>
    <w:rsid w:val="00623888"/>
    <w:rsid w:val="00644308"/>
    <w:rsid w:val="00646065"/>
    <w:rsid w:val="006634E1"/>
    <w:rsid w:val="00674ED0"/>
    <w:rsid w:val="006817DB"/>
    <w:rsid w:val="006B7E3B"/>
    <w:rsid w:val="006E36C2"/>
    <w:rsid w:val="006E41E0"/>
    <w:rsid w:val="006E55D1"/>
    <w:rsid w:val="006F1F70"/>
    <w:rsid w:val="0070070F"/>
    <w:rsid w:val="00704012"/>
    <w:rsid w:val="0071335C"/>
    <w:rsid w:val="00724C18"/>
    <w:rsid w:val="00727620"/>
    <w:rsid w:val="00735DE0"/>
    <w:rsid w:val="00750C3A"/>
    <w:rsid w:val="007610AB"/>
    <w:rsid w:val="00764B25"/>
    <w:rsid w:val="007719A8"/>
    <w:rsid w:val="00782DA6"/>
    <w:rsid w:val="00793C05"/>
    <w:rsid w:val="007A012C"/>
    <w:rsid w:val="007A136F"/>
    <w:rsid w:val="007C2A6A"/>
    <w:rsid w:val="007D24DD"/>
    <w:rsid w:val="007E1BF2"/>
    <w:rsid w:val="00805777"/>
    <w:rsid w:val="00822D6F"/>
    <w:rsid w:val="00844475"/>
    <w:rsid w:val="00852D80"/>
    <w:rsid w:val="00862FA9"/>
    <w:rsid w:val="00870AE7"/>
    <w:rsid w:val="008B2436"/>
    <w:rsid w:val="008B4ED4"/>
    <w:rsid w:val="008F035D"/>
    <w:rsid w:val="008F68D1"/>
    <w:rsid w:val="009127F7"/>
    <w:rsid w:val="00914742"/>
    <w:rsid w:val="00934ED3"/>
    <w:rsid w:val="0094648D"/>
    <w:rsid w:val="009609D8"/>
    <w:rsid w:val="009631C3"/>
    <w:rsid w:val="009914AC"/>
    <w:rsid w:val="009C3153"/>
    <w:rsid w:val="009C598A"/>
    <w:rsid w:val="009D3668"/>
    <w:rsid w:val="009E031A"/>
    <w:rsid w:val="009E7A9B"/>
    <w:rsid w:val="009F541B"/>
    <w:rsid w:val="009F6AB8"/>
    <w:rsid w:val="009F79F2"/>
    <w:rsid w:val="00A00DEF"/>
    <w:rsid w:val="00A15C3B"/>
    <w:rsid w:val="00A25F67"/>
    <w:rsid w:val="00A45092"/>
    <w:rsid w:val="00A51516"/>
    <w:rsid w:val="00A64490"/>
    <w:rsid w:val="00A70ACB"/>
    <w:rsid w:val="00A717E2"/>
    <w:rsid w:val="00A73DCD"/>
    <w:rsid w:val="00A940DA"/>
    <w:rsid w:val="00AA4824"/>
    <w:rsid w:val="00AB3203"/>
    <w:rsid w:val="00AD0B45"/>
    <w:rsid w:val="00AD0E14"/>
    <w:rsid w:val="00AF76E3"/>
    <w:rsid w:val="00B01AB8"/>
    <w:rsid w:val="00B032D8"/>
    <w:rsid w:val="00B1666F"/>
    <w:rsid w:val="00B536F7"/>
    <w:rsid w:val="00B567B4"/>
    <w:rsid w:val="00B73318"/>
    <w:rsid w:val="00B76A31"/>
    <w:rsid w:val="00B84059"/>
    <w:rsid w:val="00B87EBB"/>
    <w:rsid w:val="00BA5D5A"/>
    <w:rsid w:val="00BC5670"/>
    <w:rsid w:val="00BC5EBD"/>
    <w:rsid w:val="00BC7B47"/>
    <w:rsid w:val="00BD3B24"/>
    <w:rsid w:val="00BE129D"/>
    <w:rsid w:val="00BE78CD"/>
    <w:rsid w:val="00BF12E5"/>
    <w:rsid w:val="00C165BA"/>
    <w:rsid w:val="00C426B3"/>
    <w:rsid w:val="00C45433"/>
    <w:rsid w:val="00C517A1"/>
    <w:rsid w:val="00C62830"/>
    <w:rsid w:val="00C648EC"/>
    <w:rsid w:val="00C65C31"/>
    <w:rsid w:val="00CA2657"/>
    <w:rsid w:val="00CE00E1"/>
    <w:rsid w:val="00D02DD0"/>
    <w:rsid w:val="00D03CAB"/>
    <w:rsid w:val="00D12221"/>
    <w:rsid w:val="00D22611"/>
    <w:rsid w:val="00D30710"/>
    <w:rsid w:val="00D407DD"/>
    <w:rsid w:val="00D42A5C"/>
    <w:rsid w:val="00D55D48"/>
    <w:rsid w:val="00D63F46"/>
    <w:rsid w:val="00D67EA7"/>
    <w:rsid w:val="00D853A5"/>
    <w:rsid w:val="00DA0567"/>
    <w:rsid w:val="00DA6E99"/>
    <w:rsid w:val="00DB3C0C"/>
    <w:rsid w:val="00DB5AF4"/>
    <w:rsid w:val="00DB5CE3"/>
    <w:rsid w:val="00DB7B8F"/>
    <w:rsid w:val="00DD2CD6"/>
    <w:rsid w:val="00DF1EF6"/>
    <w:rsid w:val="00E02569"/>
    <w:rsid w:val="00E24022"/>
    <w:rsid w:val="00E62CDD"/>
    <w:rsid w:val="00E70643"/>
    <w:rsid w:val="00E720D2"/>
    <w:rsid w:val="00E86591"/>
    <w:rsid w:val="00EA37E1"/>
    <w:rsid w:val="00EB0A18"/>
    <w:rsid w:val="00EF1F59"/>
    <w:rsid w:val="00EF4B3E"/>
    <w:rsid w:val="00EF79D9"/>
    <w:rsid w:val="00F07BD8"/>
    <w:rsid w:val="00F20057"/>
    <w:rsid w:val="00F20FBA"/>
    <w:rsid w:val="00F6287E"/>
    <w:rsid w:val="00F65603"/>
    <w:rsid w:val="00F7003F"/>
    <w:rsid w:val="00F722B0"/>
    <w:rsid w:val="00F85DC1"/>
    <w:rsid w:val="00FA6CF7"/>
    <w:rsid w:val="00FD4E73"/>
    <w:rsid w:val="00FE4E78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039F"/>
  <w15:docId w15:val="{B5CE37C7-197F-44F8-8332-D963CE23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D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4509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15C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36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6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6E69"/>
  </w:style>
  <w:style w:type="paragraph" w:styleId="Podnoje">
    <w:name w:val="footer"/>
    <w:basedOn w:val="Normal"/>
    <w:link w:val="PodnojeChar"/>
    <w:uiPriority w:val="99"/>
    <w:unhideWhenUsed/>
    <w:rsid w:val="0006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0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kolazd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e-kuzmanic@medskolazd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Knjigovodstvo</dc:creator>
  <cp:lastModifiedBy>Korisnik</cp:lastModifiedBy>
  <cp:revision>55</cp:revision>
  <cp:lastPrinted>2025-10-28T09:52:00Z</cp:lastPrinted>
  <dcterms:created xsi:type="dcterms:W3CDTF">2024-10-30T08:44:00Z</dcterms:created>
  <dcterms:modified xsi:type="dcterms:W3CDTF">2025-10-31T08:01:00Z</dcterms:modified>
</cp:coreProperties>
</file>